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D144D" w14:textId="77777777" w:rsidR="00FB4DCD" w:rsidRPr="006074C5" w:rsidRDefault="00C91EF3">
      <w:pPr>
        <w:rPr>
          <w:b/>
          <w:color w:val="4472C4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074C5">
        <w:rPr>
          <w:b/>
          <w:noProof/>
          <w:color w:val="4472C4" w:themeColor="accent5"/>
          <w:lang w:eastAsia="fr-F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E609A" wp14:editId="7891A32D">
                <wp:simplePos x="0" y="0"/>
                <wp:positionH relativeFrom="column">
                  <wp:posOffset>-109220</wp:posOffset>
                </wp:positionH>
                <wp:positionV relativeFrom="paragraph">
                  <wp:posOffset>-4445</wp:posOffset>
                </wp:positionV>
                <wp:extent cx="6353175" cy="1828800"/>
                <wp:effectExtent l="0" t="0" r="28575" b="2032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5DAC3AF" w14:textId="6AC1CCA8" w:rsidR="00C91EF3" w:rsidRPr="006074C5" w:rsidRDefault="00C91EF3" w:rsidP="001F6F94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74C5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Rencontre </w:t>
                            </w:r>
                            <w:r w:rsidR="00CE260C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DGPR/FENARIVE</w:t>
                            </w:r>
                            <w:r w:rsidRPr="006074C5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06081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le </w:t>
                            </w:r>
                            <w:r w:rsidR="00CE260C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25</w:t>
                            </w:r>
                            <w:r w:rsidR="00A9290C" w:rsidRPr="006074C5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/05</w:t>
                            </w:r>
                            <w:r w:rsidRPr="006074C5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/201</w:t>
                            </w:r>
                            <w:r w:rsidR="00A9290C" w:rsidRPr="006074C5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3E609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8.6pt;margin-top:-.35pt;width:500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" filled="f" strokeweight=".5pt">
                <v:textbox style="mso-fit-shape-to-text:t">
                  <w:txbxContent>
                    <w:p w14:paraId="75DAC3AF" w14:textId="6AC1CCA8" w:rsidR="00C91EF3" w:rsidRPr="006074C5" w:rsidRDefault="00C91EF3" w:rsidP="001F6F94">
                      <w:pPr>
                        <w:jc w:val="center"/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074C5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Rencontre </w:t>
                      </w:r>
                      <w:r w:rsidR="00CE260C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DGPR/FENARIVE</w:t>
                      </w:r>
                      <w:r w:rsidRPr="006074C5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06081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le </w:t>
                      </w:r>
                      <w:r w:rsidR="00CE260C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25</w:t>
                      </w:r>
                      <w:r w:rsidR="00A9290C" w:rsidRPr="006074C5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/05</w:t>
                      </w:r>
                      <w:r w:rsidRPr="006074C5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/201</w:t>
                      </w:r>
                      <w:r w:rsidR="00A9290C" w:rsidRPr="006074C5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6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7621"/>
        <w:gridCol w:w="2268"/>
      </w:tblGrid>
      <w:tr w:rsidR="00DF1138" w14:paraId="40B4A395" w14:textId="77777777" w:rsidTr="000E579C">
        <w:tc>
          <w:tcPr>
            <w:tcW w:w="7621" w:type="dxa"/>
          </w:tcPr>
          <w:p w14:paraId="2673777E" w14:textId="18D7DFEE" w:rsidR="00DF1138" w:rsidRDefault="00DF1138" w:rsidP="00DF1138">
            <w:pPr>
              <w:rPr>
                <w:b/>
              </w:rPr>
            </w:pPr>
            <w:r>
              <w:rPr>
                <w:b/>
              </w:rPr>
              <w:t xml:space="preserve">Motif de la réunion </w:t>
            </w:r>
          </w:p>
          <w:p w14:paraId="47DEE4DE" w14:textId="3C0B589C" w:rsidR="00DF1138" w:rsidRDefault="00CE260C" w:rsidP="00DF1138">
            <w:r>
              <w:t>Révision du guide IOTA/IED</w:t>
            </w:r>
          </w:p>
          <w:p w14:paraId="1048F942" w14:textId="0CCC7B07" w:rsidR="00DF1138" w:rsidRDefault="00DF1138" w:rsidP="00DF1138">
            <w:pPr>
              <w:rPr>
                <w:b/>
              </w:rPr>
            </w:pPr>
          </w:p>
        </w:tc>
        <w:tc>
          <w:tcPr>
            <w:tcW w:w="2268" w:type="dxa"/>
          </w:tcPr>
          <w:p w14:paraId="78AD76FA" w14:textId="77777777" w:rsidR="00DF1138" w:rsidRDefault="00DF1138">
            <w:pPr>
              <w:rPr>
                <w:b/>
              </w:rPr>
            </w:pPr>
            <w:r>
              <w:rPr>
                <w:b/>
              </w:rPr>
              <w:t>Lieu</w:t>
            </w:r>
          </w:p>
          <w:p w14:paraId="5A8F2614" w14:textId="2CB66E6D" w:rsidR="00DF1138" w:rsidRPr="00DF1138" w:rsidRDefault="00DF1138">
            <w:r w:rsidRPr="00DF1138">
              <w:t>MEEM La Défense</w:t>
            </w:r>
          </w:p>
        </w:tc>
      </w:tr>
      <w:tr w:rsidR="00DF1138" w14:paraId="7075E80C" w14:textId="77777777" w:rsidTr="000E579C">
        <w:tc>
          <w:tcPr>
            <w:tcW w:w="7621" w:type="dxa"/>
          </w:tcPr>
          <w:p w14:paraId="62F8EBB0" w14:textId="34E5A103" w:rsidR="00DF1138" w:rsidRDefault="00DF1138">
            <w:pPr>
              <w:rPr>
                <w:b/>
              </w:rPr>
            </w:pPr>
            <w:r>
              <w:rPr>
                <w:b/>
              </w:rPr>
              <w:t>Présents</w:t>
            </w:r>
          </w:p>
          <w:p w14:paraId="0A215CD7" w14:textId="77777777" w:rsidR="008D11E8" w:rsidRDefault="00DF1138">
            <w:r w:rsidRPr="00DF1138">
              <w:rPr>
                <w:i/>
              </w:rPr>
              <w:t>D</w:t>
            </w:r>
            <w:r w:rsidR="00CE260C">
              <w:rPr>
                <w:i/>
              </w:rPr>
              <w:t>GPR</w:t>
            </w:r>
            <w:r>
              <w:t xml:space="preserve">          </w:t>
            </w:r>
            <w:r w:rsidR="008D11E8">
              <w:t xml:space="preserve">                </w:t>
            </w:r>
            <w:r w:rsidR="00CE260C">
              <w:t>Mathias PIEYRE</w:t>
            </w:r>
            <w:r w:rsidR="002D1D88">
              <w:t xml:space="preserve"> </w:t>
            </w:r>
            <w:r w:rsidR="00551F3B">
              <w:t>–</w:t>
            </w:r>
            <w:r w:rsidR="002D1D88">
              <w:t xml:space="preserve"> </w:t>
            </w:r>
            <w:r w:rsidR="008D11E8" w:rsidRPr="008D11E8">
              <w:t xml:space="preserve">chef du bureau de la nomenclature, des </w:t>
            </w:r>
            <w:r w:rsidR="008D11E8">
              <w:t xml:space="preserve"> </w:t>
            </w:r>
          </w:p>
          <w:p w14:paraId="4B1F364E" w14:textId="2EE2FA79" w:rsidR="00DF1138" w:rsidRDefault="008D11E8">
            <w:r>
              <w:t xml:space="preserve">                                            </w:t>
            </w:r>
            <w:r w:rsidRPr="008D11E8">
              <w:t>émissions</w:t>
            </w:r>
            <w:r>
              <w:t xml:space="preserve"> </w:t>
            </w:r>
            <w:r w:rsidRPr="008D11E8">
              <w:t>industrielles et des pollutions des eaux</w:t>
            </w:r>
          </w:p>
          <w:p w14:paraId="6934E85E" w14:textId="6BE8E593" w:rsidR="00DF1138" w:rsidRDefault="00DF1138">
            <w:r>
              <w:t xml:space="preserve">                     </w:t>
            </w:r>
            <w:r w:rsidR="008D11E8">
              <w:t xml:space="preserve">              Eric MOUSSET </w:t>
            </w:r>
            <w:r w:rsidR="002D1D88" w:rsidRPr="002D1D88">
              <w:t xml:space="preserve">‎- adjoint </w:t>
            </w:r>
          </w:p>
          <w:p w14:paraId="605161E6" w14:textId="2C64CBA1" w:rsidR="00421661" w:rsidRDefault="00E15EC1" w:rsidP="00421661">
            <w:r>
              <w:t xml:space="preserve">                     </w:t>
            </w:r>
            <w:r w:rsidR="008D11E8">
              <w:t xml:space="preserve">              Berengère LYAN –</w:t>
            </w:r>
            <w:r w:rsidR="00421661">
              <w:t xml:space="preserve"> </w:t>
            </w:r>
            <w:r w:rsidR="008D11E8">
              <w:t>chargée de mission Pollution des eaux</w:t>
            </w:r>
          </w:p>
          <w:p w14:paraId="4592B975" w14:textId="3C74576B" w:rsidR="00DF1138" w:rsidRDefault="00DF1138">
            <w:r w:rsidRPr="00DF1138">
              <w:rPr>
                <w:i/>
              </w:rPr>
              <w:t xml:space="preserve">FENARIVE </w:t>
            </w:r>
            <w:r>
              <w:t xml:space="preserve">   </w:t>
            </w:r>
            <w:r w:rsidR="008D11E8">
              <w:t xml:space="preserve">             </w:t>
            </w:r>
            <w:r>
              <w:t>Christian LECUSSAN</w:t>
            </w:r>
            <w:r w:rsidR="008D11E8">
              <w:t xml:space="preserve"> </w:t>
            </w:r>
          </w:p>
          <w:p w14:paraId="4B402B1F" w14:textId="564A844E" w:rsidR="00DF1138" w:rsidRDefault="00DF1138" w:rsidP="00DF1138">
            <w:r>
              <w:t xml:space="preserve">                     </w:t>
            </w:r>
            <w:r w:rsidR="008D11E8">
              <w:t xml:space="preserve">             </w:t>
            </w:r>
            <w:r>
              <w:t xml:space="preserve"> Sylvie HAMMADI</w:t>
            </w:r>
            <w:r w:rsidR="008D11E8">
              <w:t xml:space="preserve"> </w:t>
            </w:r>
          </w:p>
          <w:p w14:paraId="00078A13" w14:textId="65150C01" w:rsidR="008D11E8" w:rsidRDefault="008D11E8" w:rsidP="00DF1138">
            <w:r>
              <w:t>UIC                            Céline CAROLY</w:t>
            </w:r>
          </w:p>
          <w:p w14:paraId="49AA442E" w14:textId="737A78AC" w:rsidR="008D11E8" w:rsidRDefault="008D11E8" w:rsidP="00DF1138">
            <w:r>
              <w:t>UFIP                          Jean-Yves TOUBOULIC</w:t>
            </w:r>
          </w:p>
          <w:p w14:paraId="2867E5BF" w14:textId="03C2756A" w:rsidR="008D11E8" w:rsidRDefault="008D11E8" w:rsidP="00DF1138">
            <w:r>
              <w:t>COPACEL                  Bénédicte OUDART</w:t>
            </w:r>
          </w:p>
          <w:p w14:paraId="207FDDC0" w14:textId="20FD54D1" w:rsidR="008D11E8" w:rsidRPr="00DF1138" w:rsidRDefault="008D11E8" w:rsidP="00DF1138">
            <w:r w:rsidRPr="00DB6850">
              <w:t>EDF (thermique)</w:t>
            </w:r>
            <w:r>
              <w:t xml:space="preserve"> </w:t>
            </w:r>
            <w:r w:rsidR="00851BDD">
              <w:t xml:space="preserve">    Célia JUILLERON</w:t>
            </w:r>
          </w:p>
        </w:tc>
        <w:tc>
          <w:tcPr>
            <w:tcW w:w="2268" w:type="dxa"/>
          </w:tcPr>
          <w:p w14:paraId="646ACE36" w14:textId="27D546D6" w:rsidR="00DF1138" w:rsidRPr="00DF1138" w:rsidRDefault="00DF1138"/>
        </w:tc>
      </w:tr>
    </w:tbl>
    <w:p w14:paraId="1BA313D3" w14:textId="6F1DC30F" w:rsidR="00DF1138" w:rsidRDefault="00DF1138">
      <w:pPr>
        <w:rPr>
          <w:b/>
        </w:rPr>
      </w:pPr>
    </w:p>
    <w:p w14:paraId="006C8BA6" w14:textId="522A6603" w:rsidR="004E4BDE" w:rsidRDefault="00CB3ACB">
      <w:r w:rsidRPr="00CB3ACB">
        <w:t>Lien vers le guide</w:t>
      </w:r>
      <w:r w:rsidR="004E4BDE">
        <w:t> (et à retrouver sur le site de la FENARIVE</w:t>
      </w:r>
      <w:r w:rsidR="002A2833">
        <w:t>, dans l’onglet Publications)</w:t>
      </w:r>
    </w:p>
    <w:p w14:paraId="749F4A1D" w14:textId="5F36007F" w:rsidR="00CB3ACB" w:rsidRDefault="007422EA">
      <w:hyperlink r:id="rId8" w:history="1">
        <w:r w:rsidR="00CB3ACB" w:rsidRPr="00555F13">
          <w:rPr>
            <w:rStyle w:val="Lienhypertexte"/>
          </w:rPr>
          <w:t>http://www.ineris.fr/aida/sites/default/files/gesdoc/87464/guide_DCE_version_2.pdf</w:t>
        </w:r>
      </w:hyperlink>
    </w:p>
    <w:p w14:paraId="764C3A04" w14:textId="130D5729" w:rsidR="00C834B7" w:rsidRPr="0061064B" w:rsidRDefault="00C834B7" w:rsidP="00CA32B4">
      <w:pPr>
        <w:tabs>
          <w:tab w:val="left" w:pos="960"/>
        </w:tabs>
        <w:spacing w:before="100" w:beforeAutospacing="1" w:after="240" w:line="240" w:lineRule="auto"/>
        <w:jc w:val="both"/>
        <w:rPr>
          <w:rFonts w:cs="Arial"/>
          <w:b/>
          <w:i/>
          <w:sz w:val="28"/>
          <w:szCs w:val="28"/>
          <w:u w:val="single"/>
        </w:rPr>
      </w:pPr>
      <w:r w:rsidRPr="0061064B">
        <w:rPr>
          <w:rFonts w:cs="Arial"/>
          <w:b/>
          <w:i/>
          <w:sz w:val="28"/>
          <w:szCs w:val="28"/>
          <w:u w:val="single"/>
        </w:rPr>
        <w:t>Rappel </w:t>
      </w:r>
      <w:r w:rsidR="00E57EAB" w:rsidRPr="0061064B">
        <w:rPr>
          <w:rFonts w:cs="Arial"/>
          <w:b/>
          <w:i/>
          <w:sz w:val="28"/>
          <w:szCs w:val="28"/>
          <w:u w:val="single"/>
        </w:rPr>
        <w:t>du contexte</w:t>
      </w:r>
    </w:p>
    <w:p w14:paraId="4F525518" w14:textId="27DB246F" w:rsidR="002C4AA5" w:rsidRDefault="00DB773F" w:rsidP="002C4AA5">
      <w:pPr>
        <w:pStyle w:val="Paragraphedeliste"/>
        <w:numPr>
          <w:ilvl w:val="0"/>
          <w:numId w:val="37"/>
        </w:numPr>
      </w:pPr>
      <w:r>
        <w:t>Guide sorti au bout de la 45</w:t>
      </w:r>
      <w:r w:rsidR="002C4AA5" w:rsidRPr="002C4AA5">
        <w:rPr>
          <w:vertAlign w:val="superscript"/>
        </w:rPr>
        <w:t>ème</w:t>
      </w:r>
      <w:r w:rsidR="002C4AA5">
        <w:t xml:space="preserve"> </w:t>
      </w:r>
      <w:r>
        <w:t xml:space="preserve">version. </w:t>
      </w:r>
      <w:r w:rsidR="00B50B24">
        <w:t>Divergences importantes entre la DGPR et la DEB, notamment au sujet des autorisations de rejet dans les masses d’eau en mauvais état.</w:t>
      </w:r>
    </w:p>
    <w:p w14:paraId="67371F36" w14:textId="249748C5" w:rsidR="00F03F9D" w:rsidRDefault="002C4AA5" w:rsidP="002C4AA5">
      <w:pPr>
        <w:pStyle w:val="Paragraphedeliste"/>
        <w:numPr>
          <w:ilvl w:val="0"/>
          <w:numId w:val="37"/>
        </w:numPr>
        <w:jc w:val="both"/>
      </w:pPr>
      <w:r>
        <w:t>Publié en</w:t>
      </w:r>
      <w:r w:rsidR="00DB773F">
        <w:t xml:space="preserve"> novembre 2012. A l’origine, document à l’attention de l’inspection, et moins des Industriels</w:t>
      </w:r>
    </w:p>
    <w:p w14:paraId="13204E79" w14:textId="77777777" w:rsidR="00B50B24" w:rsidRDefault="00B50B24" w:rsidP="002C4AA5">
      <w:pPr>
        <w:pStyle w:val="Paragraphedeliste"/>
        <w:numPr>
          <w:ilvl w:val="0"/>
          <w:numId w:val="37"/>
        </w:numPr>
        <w:jc w:val="both"/>
      </w:pPr>
      <w:r>
        <w:t>V2 du guide début 2016 = ajout d’une annexe (destinée aux inspecteurs) contenant</w:t>
      </w:r>
    </w:p>
    <w:p w14:paraId="198B5CAC" w14:textId="77777777" w:rsidR="00B50B24" w:rsidRDefault="00B50B24" w:rsidP="00B50B24">
      <w:pPr>
        <w:pStyle w:val="Paragraphedeliste"/>
        <w:numPr>
          <w:ilvl w:val="1"/>
          <w:numId w:val="37"/>
        </w:numPr>
        <w:jc w:val="both"/>
      </w:pPr>
      <w:r>
        <w:t xml:space="preserve">les NQE </w:t>
      </w:r>
    </w:p>
    <w:p w14:paraId="1D117890" w14:textId="126F0402" w:rsidR="00B50B24" w:rsidRDefault="00B50B24" w:rsidP="00B50B24">
      <w:pPr>
        <w:pStyle w:val="Paragraphedeliste"/>
        <w:numPr>
          <w:ilvl w:val="1"/>
          <w:numId w:val="37"/>
        </w:numPr>
        <w:jc w:val="both"/>
      </w:pPr>
      <w:r>
        <w:t xml:space="preserve">les VLE </w:t>
      </w:r>
    </w:p>
    <w:p w14:paraId="47F98C2E" w14:textId="124B8AB8" w:rsidR="00B50B24" w:rsidRDefault="00B50B24" w:rsidP="00B50B24">
      <w:pPr>
        <w:pStyle w:val="Paragraphedeliste"/>
        <w:numPr>
          <w:ilvl w:val="1"/>
          <w:numId w:val="37"/>
        </w:numPr>
        <w:jc w:val="both"/>
      </w:pPr>
      <w:r>
        <w:t>un fichier sur les zones de mélange</w:t>
      </w:r>
    </w:p>
    <w:p w14:paraId="4B83972E" w14:textId="6717A08C" w:rsidR="00B50B24" w:rsidRPr="00B50B24" w:rsidRDefault="00B50B24" w:rsidP="00B50B24">
      <w:pPr>
        <w:tabs>
          <w:tab w:val="left" w:pos="960"/>
        </w:tabs>
        <w:spacing w:before="100" w:beforeAutospacing="1" w:after="240" w:line="240" w:lineRule="auto"/>
        <w:jc w:val="both"/>
        <w:rPr>
          <w:rFonts w:cs="Arial"/>
          <w:b/>
          <w:i/>
          <w:sz w:val="28"/>
          <w:szCs w:val="28"/>
          <w:u w:val="single"/>
        </w:rPr>
      </w:pPr>
      <w:r w:rsidRPr="00B50B24">
        <w:rPr>
          <w:rFonts w:cs="Arial"/>
          <w:b/>
          <w:i/>
          <w:sz w:val="28"/>
          <w:szCs w:val="28"/>
          <w:u w:val="single"/>
        </w:rPr>
        <w:t>Démarche actuelle</w:t>
      </w:r>
    </w:p>
    <w:p w14:paraId="1EB6D50A" w14:textId="738D1529" w:rsidR="00B50B24" w:rsidRDefault="00B50B24" w:rsidP="00B50B24">
      <w:pPr>
        <w:jc w:val="both"/>
      </w:pPr>
      <w:r>
        <w:t xml:space="preserve">La DGPR n’a pas de commande particulière pour sortir une V3. L’idée est plutôt </w:t>
      </w:r>
      <w:r w:rsidR="000515F0">
        <w:t>de consulter l’inspection, la DEB et les industriels pour voir s’il est opportun de mettre à jour le guide.</w:t>
      </w:r>
    </w:p>
    <w:p w14:paraId="0671B504" w14:textId="775D1C4D" w:rsidR="000515F0" w:rsidRPr="000515F0" w:rsidRDefault="000515F0" w:rsidP="000515F0">
      <w:pPr>
        <w:tabs>
          <w:tab w:val="left" w:pos="960"/>
        </w:tabs>
        <w:spacing w:before="100" w:beforeAutospacing="1" w:after="240" w:line="240" w:lineRule="auto"/>
        <w:jc w:val="both"/>
        <w:rPr>
          <w:rFonts w:cs="Arial"/>
          <w:b/>
          <w:i/>
          <w:sz w:val="28"/>
          <w:szCs w:val="28"/>
          <w:u w:val="single"/>
        </w:rPr>
      </w:pPr>
      <w:r w:rsidRPr="000515F0">
        <w:rPr>
          <w:rFonts w:cs="Arial"/>
          <w:b/>
          <w:i/>
          <w:sz w:val="28"/>
          <w:szCs w:val="28"/>
          <w:u w:val="single"/>
        </w:rPr>
        <w:t>Questions de la FENARIVE</w:t>
      </w:r>
    </w:p>
    <w:p w14:paraId="533A1C50" w14:textId="2D123A45" w:rsidR="000515F0" w:rsidRDefault="000515F0" w:rsidP="00A14840">
      <w:pPr>
        <w:pStyle w:val="Paragraphedeliste"/>
        <w:numPr>
          <w:ilvl w:val="0"/>
          <w:numId w:val="38"/>
        </w:numPr>
        <w:jc w:val="both"/>
      </w:pPr>
      <w:r>
        <w:t>Il faut déterminer les zones de mélange</w:t>
      </w:r>
    </w:p>
    <w:p w14:paraId="67655D15" w14:textId="26E92B98" w:rsidR="000515F0" w:rsidRDefault="00FB7F86" w:rsidP="00A14840">
      <w:pPr>
        <w:pStyle w:val="Paragraphedeliste"/>
        <w:numPr>
          <w:ilvl w:val="0"/>
          <w:numId w:val="38"/>
        </w:numPr>
        <w:jc w:val="both"/>
      </w:pPr>
      <w:r>
        <w:t>L</w:t>
      </w:r>
      <w:r w:rsidR="000515F0">
        <w:t>e PAOT</w:t>
      </w:r>
      <w:r w:rsidR="000515F0">
        <w:rPr>
          <w:rStyle w:val="Appelnotedebasdep"/>
        </w:rPr>
        <w:footnoteReference w:id="1"/>
      </w:r>
      <w:r w:rsidR="000515F0">
        <w:t xml:space="preserve"> </w:t>
      </w:r>
      <w:r>
        <w:t>découle du PDM</w:t>
      </w:r>
      <w:r>
        <w:rPr>
          <w:rStyle w:val="Appelnotedebasdep"/>
        </w:rPr>
        <w:footnoteReference w:id="2"/>
      </w:r>
      <w:r>
        <w:t>. Mais le PDM décrit des actions génériques, alors que le PAOT est à un niveau plus local. Quel est le lien avec les PTAP</w:t>
      </w:r>
      <w:r>
        <w:rPr>
          <w:rStyle w:val="Appelnotedebasdep"/>
        </w:rPr>
        <w:footnoteReference w:id="3"/>
      </w:r>
      <w:r w:rsidR="00A14840">
        <w:t> ? Cette problématique est-elle la même sur les 6 bassins ?</w:t>
      </w:r>
    </w:p>
    <w:p w14:paraId="6B2043B9" w14:textId="26BCFE73" w:rsidR="00A14840" w:rsidRDefault="00A14840" w:rsidP="00A14840">
      <w:pPr>
        <w:pStyle w:val="Paragraphedeliste"/>
        <w:numPr>
          <w:ilvl w:val="0"/>
          <w:numId w:val="38"/>
        </w:numPr>
        <w:jc w:val="both"/>
      </w:pPr>
      <w:r>
        <w:lastRenderedPageBreak/>
        <w:t>Mise en conformité des autorisations de rejets avec les SDAGE : la DGPR dit que l’inspection est OK</w:t>
      </w:r>
    </w:p>
    <w:p w14:paraId="7C38B677" w14:textId="6D179E64" w:rsidR="00A14840" w:rsidRDefault="00A14840" w:rsidP="00A14840">
      <w:pPr>
        <w:pStyle w:val="Paragraphedeliste"/>
        <w:numPr>
          <w:ilvl w:val="0"/>
          <w:numId w:val="38"/>
        </w:numPr>
        <w:jc w:val="both"/>
      </w:pPr>
      <w:r>
        <w:t xml:space="preserve">Accès aux données sur le milieu : le site de l’ONEMA </w:t>
      </w:r>
      <w:hyperlink r:id="rId9" w:history="1">
        <w:r w:rsidRPr="00B92C3D">
          <w:rPr>
            <w:rStyle w:val="Lienhypertexte"/>
          </w:rPr>
          <w:t>www.eaufrance.fr</w:t>
        </w:r>
      </w:hyperlink>
      <w:r>
        <w:t xml:space="preserve"> est à améliorer</w:t>
      </w:r>
    </w:p>
    <w:p w14:paraId="7020FF51" w14:textId="35712817" w:rsidR="00D2596D" w:rsidRDefault="00A14840" w:rsidP="00D2596D">
      <w:pPr>
        <w:pStyle w:val="Paragraphedeliste"/>
        <w:numPr>
          <w:ilvl w:val="0"/>
          <w:numId w:val="38"/>
        </w:numPr>
        <w:jc w:val="both"/>
      </w:pPr>
      <w:r>
        <w:t>Les industriels doivent évaluer leur impact sur le milieu. Mais quid si la ressource en entrée est pollué</w:t>
      </w:r>
      <w:r w:rsidR="004055EC">
        <w:t>e</w:t>
      </w:r>
      <w:bookmarkStart w:id="0" w:name="_GoBack"/>
      <w:bookmarkEnd w:id="0"/>
      <w:r>
        <w:t> : l’industriel peut se retrouver à dépolluer la masse d’eau.</w:t>
      </w:r>
    </w:p>
    <w:p w14:paraId="4A89D3AA" w14:textId="0422C5CD" w:rsidR="00D2596D" w:rsidRDefault="00D2596D" w:rsidP="00D2596D">
      <w:pPr>
        <w:jc w:val="both"/>
      </w:pPr>
      <w:r>
        <w:t>DGRP : pour une installation ICPE, l’étude d’impact est obligatoire, et comporte un volet amont/aval.</w:t>
      </w:r>
    </w:p>
    <w:p w14:paraId="1ECD7180" w14:textId="73A707DF" w:rsidR="008B0BE6" w:rsidRDefault="008B0BE6" w:rsidP="00C77909">
      <w:pPr>
        <w:pStyle w:val="Paragraphedeliste"/>
        <w:numPr>
          <w:ilvl w:val="0"/>
          <w:numId w:val="42"/>
        </w:numPr>
        <w:jc w:val="both"/>
      </w:pPr>
      <w:r>
        <w:t>Les ZRE</w:t>
      </w:r>
      <w:r w:rsidR="00275DCA">
        <w:rPr>
          <w:rStyle w:val="Appelnotedebasdep"/>
        </w:rPr>
        <w:footnoteReference w:id="4"/>
      </w:r>
      <w:r w:rsidR="003E15EA">
        <w:t> : la DEB, qui est responsable de la mise à jour par bassin de ces zones après chaque état des lieux, n’a pas fait ce travail depuis plusieurs années. Résultat : les ZRE, fixées par arrêtés ministériels, « s’empilent ». Ce qui peut être dommageables pour les projets des industriels.</w:t>
      </w:r>
    </w:p>
    <w:p w14:paraId="0C9BD8A7" w14:textId="77777777" w:rsidR="00EE15BC" w:rsidRDefault="00A14840" w:rsidP="00EE15BC">
      <w:pPr>
        <w:tabs>
          <w:tab w:val="left" w:pos="960"/>
        </w:tabs>
        <w:spacing w:before="100" w:beforeAutospacing="1" w:after="240" w:line="240" w:lineRule="auto"/>
        <w:jc w:val="both"/>
        <w:rPr>
          <w:rFonts w:cs="Arial"/>
          <w:b/>
          <w:i/>
          <w:sz w:val="28"/>
          <w:szCs w:val="28"/>
          <w:u w:val="single"/>
        </w:rPr>
      </w:pPr>
      <w:r w:rsidRPr="00EE15BC">
        <w:rPr>
          <w:rFonts w:cs="Arial"/>
          <w:b/>
          <w:i/>
          <w:sz w:val="28"/>
          <w:szCs w:val="28"/>
          <w:u w:val="single"/>
        </w:rPr>
        <w:t xml:space="preserve">Données </w:t>
      </w:r>
      <w:r w:rsidR="00EE15BC">
        <w:rPr>
          <w:rFonts w:cs="Arial"/>
          <w:b/>
          <w:i/>
          <w:sz w:val="28"/>
          <w:szCs w:val="28"/>
          <w:u w:val="single"/>
        </w:rPr>
        <w:t>disponibles</w:t>
      </w:r>
    </w:p>
    <w:p w14:paraId="6AE178A2" w14:textId="5E1A319A" w:rsidR="00DB6850" w:rsidRPr="009C1166" w:rsidRDefault="00DB6850" w:rsidP="009C1166">
      <w:pPr>
        <w:jc w:val="both"/>
      </w:pPr>
      <w:r w:rsidRPr="009C1166">
        <w:t xml:space="preserve">Les </w:t>
      </w:r>
      <w:r w:rsidR="009C1166">
        <w:t>données sur la connaissance des milieux existent, mais leur accès n’est pas aisé.</w:t>
      </w:r>
    </w:p>
    <w:p w14:paraId="48513538" w14:textId="684E0685" w:rsidR="00A14840" w:rsidRDefault="00EE15BC" w:rsidP="00594C66">
      <w:pPr>
        <w:pStyle w:val="Paragraphedeliste"/>
        <w:numPr>
          <w:ilvl w:val="0"/>
          <w:numId w:val="39"/>
        </w:numPr>
        <w:tabs>
          <w:tab w:val="left" w:pos="960"/>
        </w:tabs>
        <w:spacing w:before="100" w:beforeAutospacing="1" w:after="240" w:line="240" w:lineRule="auto"/>
        <w:jc w:val="both"/>
      </w:pPr>
      <w:r w:rsidRPr="00EE15BC">
        <w:t xml:space="preserve">Portail </w:t>
      </w:r>
      <w:r w:rsidR="00A14840" w:rsidRPr="00EE15BC">
        <w:t>GIDAF</w:t>
      </w:r>
      <w:r>
        <w:rPr>
          <w:rStyle w:val="Appelnotedebasdep"/>
        </w:rPr>
        <w:footnoteReference w:id="5"/>
      </w:r>
      <w:r w:rsidRPr="00EE15BC">
        <w:t xml:space="preserve"> </w:t>
      </w:r>
      <w:r w:rsidR="00A14840" w:rsidRPr="00EE15BC">
        <w:t>&amp;</w:t>
      </w:r>
      <w:r w:rsidRPr="00EE15BC">
        <w:t xml:space="preserve"> portail</w:t>
      </w:r>
      <w:r w:rsidR="00A14840" w:rsidRPr="00EE15BC">
        <w:t xml:space="preserve"> GEREP</w:t>
      </w:r>
      <w:r>
        <w:rPr>
          <w:rStyle w:val="Appelnotedebasdep"/>
        </w:rPr>
        <w:footnoteReference w:id="6"/>
      </w:r>
      <w:r>
        <w:t> : données publiques consultables, notamment par un industriel qui s’installe et qui veut connaitre les rejets industriels présents sur son territoire.</w:t>
      </w:r>
    </w:p>
    <w:p w14:paraId="18F504DC" w14:textId="008F4542" w:rsidR="00DB773F" w:rsidRDefault="00EE15BC" w:rsidP="00EE15BC">
      <w:pPr>
        <w:pStyle w:val="Paragraphedeliste"/>
        <w:numPr>
          <w:ilvl w:val="0"/>
          <w:numId w:val="40"/>
        </w:numPr>
        <w:jc w:val="both"/>
      </w:pPr>
      <w:r>
        <w:t>Portail G</w:t>
      </w:r>
      <w:r w:rsidR="00675E02">
        <w:t>é</w:t>
      </w:r>
      <w:r>
        <w:t>o</w:t>
      </w:r>
      <w:r w:rsidR="00675E02">
        <w:t>R</w:t>
      </w:r>
      <w:r>
        <w:t xml:space="preserve">isques </w:t>
      </w:r>
      <w:hyperlink r:id="rId10" w:history="1">
        <w:r w:rsidRPr="00B92C3D">
          <w:rPr>
            <w:rStyle w:val="Lienhypertexte"/>
          </w:rPr>
          <w:t>http://www.georisques.gouv.fr/</w:t>
        </w:r>
      </w:hyperlink>
      <w:r w:rsidR="00675E02">
        <w:t> : pour connaitre les risques sur un territoire donné</w:t>
      </w:r>
    </w:p>
    <w:p w14:paraId="68F26EF4" w14:textId="77777777" w:rsidR="00EE15BC" w:rsidRPr="00DB773F" w:rsidRDefault="00EE15BC" w:rsidP="00DB773F">
      <w:pPr>
        <w:ind w:left="2124" w:hanging="2124"/>
        <w:jc w:val="both"/>
      </w:pPr>
    </w:p>
    <w:sectPr w:rsidR="00EE15BC" w:rsidRPr="00DB773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E024D" w14:textId="77777777" w:rsidR="007422EA" w:rsidRDefault="007422EA" w:rsidP="00477748">
      <w:pPr>
        <w:spacing w:after="0" w:line="240" w:lineRule="auto"/>
      </w:pPr>
      <w:r>
        <w:separator/>
      </w:r>
    </w:p>
  </w:endnote>
  <w:endnote w:type="continuationSeparator" w:id="0">
    <w:p w14:paraId="0FA221A8" w14:textId="77777777" w:rsidR="007422EA" w:rsidRDefault="007422EA" w:rsidP="00477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60441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A97821" w14:textId="58757ADF" w:rsidR="00477748" w:rsidRDefault="00477748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55E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55E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726B19" w14:textId="77777777" w:rsidR="00477748" w:rsidRDefault="0047774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F6DB2" w14:textId="77777777" w:rsidR="007422EA" w:rsidRDefault="007422EA" w:rsidP="00477748">
      <w:pPr>
        <w:spacing w:after="0" w:line="240" w:lineRule="auto"/>
      </w:pPr>
      <w:r>
        <w:separator/>
      </w:r>
    </w:p>
  </w:footnote>
  <w:footnote w:type="continuationSeparator" w:id="0">
    <w:p w14:paraId="0E207D32" w14:textId="77777777" w:rsidR="007422EA" w:rsidRDefault="007422EA" w:rsidP="00477748">
      <w:pPr>
        <w:spacing w:after="0" w:line="240" w:lineRule="auto"/>
      </w:pPr>
      <w:r>
        <w:continuationSeparator/>
      </w:r>
    </w:p>
  </w:footnote>
  <w:footnote w:id="1">
    <w:p w14:paraId="0949EFC8" w14:textId="59C1F34E" w:rsidR="000515F0" w:rsidRDefault="000515F0">
      <w:pPr>
        <w:pStyle w:val="Notedebasdepage"/>
      </w:pPr>
      <w:r>
        <w:rPr>
          <w:rStyle w:val="Appelnotedebasdep"/>
        </w:rPr>
        <w:footnoteRef/>
      </w:r>
      <w:r>
        <w:t xml:space="preserve"> Plan d’actions opérationnel territorialisé</w:t>
      </w:r>
    </w:p>
  </w:footnote>
  <w:footnote w:id="2">
    <w:p w14:paraId="64463E96" w14:textId="2605B0DD" w:rsidR="00FB7F86" w:rsidRDefault="00FB7F86">
      <w:pPr>
        <w:pStyle w:val="Notedebasdepage"/>
      </w:pPr>
      <w:r>
        <w:rPr>
          <w:rStyle w:val="Appelnotedebasdep"/>
        </w:rPr>
        <w:footnoteRef/>
      </w:r>
      <w:r>
        <w:t xml:space="preserve"> Plan de mesures, accompagne les SDAGE</w:t>
      </w:r>
    </w:p>
  </w:footnote>
  <w:footnote w:id="3">
    <w:p w14:paraId="24EB431D" w14:textId="7F8E9876" w:rsidR="00FB7F86" w:rsidRDefault="00FB7F86">
      <w:pPr>
        <w:pStyle w:val="Notedebasdepage"/>
      </w:pPr>
      <w:r>
        <w:rPr>
          <w:rStyle w:val="Appelnotedebasdep"/>
        </w:rPr>
        <w:footnoteRef/>
      </w:r>
      <w:r>
        <w:t xml:space="preserve"> Plan territorial d’actions prioritaires</w:t>
      </w:r>
    </w:p>
  </w:footnote>
  <w:footnote w:id="4">
    <w:p w14:paraId="46E0F3EC" w14:textId="5F2AE202" w:rsidR="00275DCA" w:rsidRDefault="00275DCA">
      <w:pPr>
        <w:pStyle w:val="Notedebasdepage"/>
      </w:pPr>
      <w:r>
        <w:rPr>
          <w:rStyle w:val="Appelnotedebasdep"/>
        </w:rPr>
        <w:footnoteRef/>
      </w:r>
      <w:r>
        <w:t xml:space="preserve"> Zones de répartition des eaux</w:t>
      </w:r>
      <w:r w:rsidR="00851BDD">
        <w:t> : zone comprenant des bassins, sous-bassins, systèmes aquifères ou fractions de ceux-ci caractérisés par une insuffisance, autre qu'exceptionnelle, des ressources par rapport aux besoins</w:t>
      </w:r>
    </w:p>
  </w:footnote>
  <w:footnote w:id="5">
    <w:p w14:paraId="54A03D7D" w14:textId="69A11E90" w:rsidR="00EE15BC" w:rsidRDefault="00EE15BC" w:rsidP="00AD3652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A</w:t>
      </w:r>
      <w:r w:rsidRPr="00A14840">
        <w:rPr>
          <w:bCs/>
        </w:rPr>
        <w:t>pplication GIDAF (Gestion Informatisée des Données d’</w:t>
      </w:r>
      <w:r>
        <w:rPr>
          <w:bCs/>
        </w:rPr>
        <w:t>A</w:t>
      </w:r>
      <w:r w:rsidRPr="00A14840">
        <w:rPr>
          <w:bCs/>
        </w:rPr>
        <w:t>uto</w:t>
      </w:r>
      <w:r>
        <w:rPr>
          <w:bCs/>
        </w:rPr>
        <w:t>-</w:t>
      </w:r>
      <w:r w:rsidRPr="00A14840">
        <w:rPr>
          <w:bCs/>
        </w:rPr>
        <w:t>surveillance Fréquente)</w:t>
      </w:r>
      <w:r>
        <w:rPr>
          <w:bCs/>
        </w:rPr>
        <w:t> :</w:t>
      </w:r>
      <w:r w:rsidRPr="00A14840">
        <w:rPr>
          <w:bCs/>
        </w:rPr>
        <w:t xml:space="preserve"> outil permettant à l’exploitant de déclarer en ligne ses résultats d’analyses à l'Inspection des installations classées et aux Agences de l'eau</w:t>
      </w:r>
      <w:r w:rsidRPr="00A14840">
        <w:rPr>
          <w:rStyle w:val="lev"/>
          <w:rFonts w:ascii="Verdana" w:hAnsi="Verdana"/>
          <w:color w:val="454545"/>
          <w:sz w:val="18"/>
          <w:szCs w:val="18"/>
        </w:rPr>
        <w:t>.</w:t>
      </w:r>
    </w:p>
  </w:footnote>
  <w:footnote w:id="6">
    <w:p w14:paraId="0C8458F0" w14:textId="1052F95F" w:rsidR="00EE15BC" w:rsidRDefault="00EE15BC" w:rsidP="00AD3652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Application GEREP</w:t>
      </w:r>
      <w:r w:rsidR="00DB6850">
        <w:t xml:space="preserve"> (Gestion électronique d</w:t>
      </w:r>
      <w:r w:rsidR="002B543A">
        <w:t>u</w:t>
      </w:r>
      <w:r w:rsidR="00DB6850">
        <w:t xml:space="preserve"> registre des émissions polluantes)</w:t>
      </w:r>
      <w:r>
        <w:t xml:space="preserve"> : outil pour </w:t>
      </w:r>
      <w:r w:rsidRPr="001D730B">
        <w:rPr>
          <w:bCs/>
        </w:rPr>
        <w:t xml:space="preserve">déclaration annuelle </w:t>
      </w:r>
      <w:r w:rsidRPr="00272F5A">
        <w:rPr>
          <w:bCs/>
        </w:rPr>
        <w:t>des émissions</w:t>
      </w:r>
      <w:r>
        <w:rPr>
          <w:bCs/>
        </w:rPr>
        <w:t xml:space="preserve"> </w:t>
      </w:r>
      <w:r w:rsidRPr="001D730B">
        <w:rPr>
          <w:bCs/>
        </w:rPr>
        <w:t xml:space="preserve">de polluants </w:t>
      </w:r>
      <w:r>
        <w:rPr>
          <w:bCs/>
        </w:rPr>
        <w:t>(</w:t>
      </w:r>
      <w:r w:rsidRPr="00272F5A">
        <w:rPr>
          <w:bCs/>
        </w:rPr>
        <w:t>dans l’air, l’eau, le sol</w:t>
      </w:r>
      <w:r>
        <w:rPr>
          <w:bCs/>
        </w:rPr>
        <w:t xml:space="preserve">), </w:t>
      </w:r>
      <w:r w:rsidRPr="001D730B">
        <w:rPr>
          <w:bCs/>
        </w:rPr>
        <w:t>des transferts et des déchets</w:t>
      </w:r>
      <w:r>
        <w:rPr>
          <w:bCs/>
        </w:rPr>
        <w:t xml:space="preserve"> </w:t>
      </w:r>
      <w:r w:rsidRPr="00272F5A">
        <w:rPr>
          <w:bCs/>
        </w:rPr>
        <w:t xml:space="preserve"> </w:t>
      </w:r>
      <w:r>
        <w:rPr>
          <w:bCs/>
        </w:rPr>
        <w:t xml:space="preserve">des installations ICPE </w:t>
      </w:r>
      <w:r>
        <w:rPr>
          <w:rFonts w:ascii="Arial" w:hAnsi="Arial" w:cs="Arial"/>
          <w:color w:val="454545"/>
          <w:sz w:val="18"/>
          <w:szCs w:val="18"/>
        </w:rPr>
        <w:t>(</w:t>
      </w:r>
      <w:r w:rsidRPr="00EE15BC">
        <w:rPr>
          <w:bCs/>
        </w:rPr>
        <w:t>établissements industriels, élevages, carrières, stations d’épuration urbaines, sites d’extraction minière).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4DD9"/>
    <w:multiLevelType w:val="hybridMultilevel"/>
    <w:tmpl w:val="694611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3733"/>
    <w:multiLevelType w:val="hybridMultilevel"/>
    <w:tmpl w:val="C82846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850D1"/>
    <w:multiLevelType w:val="hybridMultilevel"/>
    <w:tmpl w:val="326CE13C"/>
    <w:lvl w:ilvl="0" w:tplc="0EC02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64EA2"/>
    <w:multiLevelType w:val="hybridMultilevel"/>
    <w:tmpl w:val="326CE13C"/>
    <w:lvl w:ilvl="0" w:tplc="0EC02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A56DF"/>
    <w:multiLevelType w:val="hybridMultilevel"/>
    <w:tmpl w:val="F3D01000"/>
    <w:lvl w:ilvl="0" w:tplc="71BEEC96">
      <w:start w:val="8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133804"/>
    <w:multiLevelType w:val="hybridMultilevel"/>
    <w:tmpl w:val="6C00984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AC4022"/>
    <w:multiLevelType w:val="hybridMultilevel"/>
    <w:tmpl w:val="130CF768"/>
    <w:lvl w:ilvl="0" w:tplc="FED4A7F0">
      <w:start w:val="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C3875"/>
    <w:multiLevelType w:val="hybridMultilevel"/>
    <w:tmpl w:val="2B20C1F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962C9D"/>
    <w:multiLevelType w:val="hybridMultilevel"/>
    <w:tmpl w:val="8F4E22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E26C3"/>
    <w:multiLevelType w:val="hybridMultilevel"/>
    <w:tmpl w:val="6D5E39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4039B"/>
    <w:multiLevelType w:val="hybridMultilevel"/>
    <w:tmpl w:val="326CE13C"/>
    <w:lvl w:ilvl="0" w:tplc="0EC02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57D22"/>
    <w:multiLevelType w:val="hybridMultilevel"/>
    <w:tmpl w:val="A24E28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86119"/>
    <w:multiLevelType w:val="hybridMultilevel"/>
    <w:tmpl w:val="A58EDE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21703"/>
    <w:multiLevelType w:val="hybridMultilevel"/>
    <w:tmpl w:val="F7401E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07567"/>
    <w:multiLevelType w:val="hybridMultilevel"/>
    <w:tmpl w:val="A5C64E88"/>
    <w:lvl w:ilvl="0" w:tplc="040C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36C201B3"/>
    <w:multiLevelType w:val="hybridMultilevel"/>
    <w:tmpl w:val="326CE13C"/>
    <w:lvl w:ilvl="0" w:tplc="0EC02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73009"/>
    <w:multiLevelType w:val="hybridMultilevel"/>
    <w:tmpl w:val="9CA031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22C53"/>
    <w:multiLevelType w:val="hybridMultilevel"/>
    <w:tmpl w:val="4F62C6E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3E3F09"/>
    <w:multiLevelType w:val="hybridMultilevel"/>
    <w:tmpl w:val="0B484B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F4AC8"/>
    <w:multiLevelType w:val="hybridMultilevel"/>
    <w:tmpl w:val="3EBAEE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C766D"/>
    <w:multiLevelType w:val="hybridMultilevel"/>
    <w:tmpl w:val="242E49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C4D80"/>
    <w:multiLevelType w:val="hybridMultilevel"/>
    <w:tmpl w:val="326CE13C"/>
    <w:lvl w:ilvl="0" w:tplc="0EC02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5F3A36"/>
    <w:multiLevelType w:val="hybridMultilevel"/>
    <w:tmpl w:val="EB26D6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57743"/>
    <w:multiLevelType w:val="hybridMultilevel"/>
    <w:tmpl w:val="19E4C13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B6B3C"/>
    <w:multiLevelType w:val="hybridMultilevel"/>
    <w:tmpl w:val="326CE13C"/>
    <w:lvl w:ilvl="0" w:tplc="0EC02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0102E"/>
    <w:multiLevelType w:val="hybridMultilevel"/>
    <w:tmpl w:val="ABCC34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A74FC"/>
    <w:multiLevelType w:val="hybridMultilevel"/>
    <w:tmpl w:val="326CE13C"/>
    <w:lvl w:ilvl="0" w:tplc="0EC02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81F15"/>
    <w:multiLevelType w:val="hybridMultilevel"/>
    <w:tmpl w:val="3FC26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7465F"/>
    <w:multiLevelType w:val="hybridMultilevel"/>
    <w:tmpl w:val="BBA65D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66C82"/>
    <w:multiLevelType w:val="hybridMultilevel"/>
    <w:tmpl w:val="79263A2C"/>
    <w:lvl w:ilvl="0" w:tplc="C1986F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54E54"/>
    <w:multiLevelType w:val="hybridMultilevel"/>
    <w:tmpl w:val="62BE7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31A2E"/>
    <w:multiLevelType w:val="hybridMultilevel"/>
    <w:tmpl w:val="1FB261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F14D9"/>
    <w:multiLevelType w:val="hybridMultilevel"/>
    <w:tmpl w:val="1B4CAB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F1017"/>
    <w:multiLevelType w:val="hybridMultilevel"/>
    <w:tmpl w:val="53509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BA2B0F"/>
    <w:multiLevelType w:val="hybridMultilevel"/>
    <w:tmpl w:val="25FA69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457CB"/>
    <w:multiLevelType w:val="hybridMultilevel"/>
    <w:tmpl w:val="8E70D4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C36D59"/>
    <w:multiLevelType w:val="hybridMultilevel"/>
    <w:tmpl w:val="59826A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D4C3A"/>
    <w:multiLevelType w:val="multilevel"/>
    <w:tmpl w:val="19424EB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8" w15:restartNumberingAfterBreak="0">
    <w:nsid w:val="7DC54AA3"/>
    <w:multiLevelType w:val="hybridMultilevel"/>
    <w:tmpl w:val="3B72DF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F8E480C"/>
    <w:multiLevelType w:val="hybridMultilevel"/>
    <w:tmpl w:val="704A53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01B32"/>
    <w:multiLevelType w:val="hybridMultilevel"/>
    <w:tmpl w:val="1B4EF8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1"/>
  </w:num>
  <w:num w:numId="5">
    <w:abstractNumId w:val="31"/>
  </w:num>
  <w:num w:numId="6">
    <w:abstractNumId w:val="14"/>
  </w:num>
  <w:num w:numId="7">
    <w:abstractNumId w:val="18"/>
  </w:num>
  <w:num w:numId="8">
    <w:abstractNumId w:val="7"/>
  </w:num>
  <w:num w:numId="9">
    <w:abstractNumId w:val="9"/>
  </w:num>
  <w:num w:numId="10">
    <w:abstractNumId w:val="28"/>
  </w:num>
  <w:num w:numId="11">
    <w:abstractNumId w:val="17"/>
  </w:num>
  <w:num w:numId="12">
    <w:abstractNumId w:val="27"/>
  </w:num>
  <w:num w:numId="13">
    <w:abstractNumId w:val="40"/>
  </w:num>
  <w:num w:numId="14">
    <w:abstractNumId w:val="38"/>
  </w:num>
  <w:num w:numId="15">
    <w:abstractNumId w:val="11"/>
  </w:num>
  <w:num w:numId="16">
    <w:abstractNumId w:val="39"/>
  </w:num>
  <w:num w:numId="17">
    <w:abstractNumId w:val="32"/>
  </w:num>
  <w:num w:numId="18">
    <w:abstractNumId w:val="19"/>
  </w:num>
  <w:num w:numId="19">
    <w:abstractNumId w:val="5"/>
  </w:num>
  <w:num w:numId="20">
    <w:abstractNumId w:val="20"/>
  </w:num>
  <w:num w:numId="21">
    <w:abstractNumId w:val="34"/>
  </w:num>
  <w:num w:numId="22">
    <w:abstractNumId w:val="33"/>
  </w:num>
  <w:num w:numId="23">
    <w:abstractNumId w:val="37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30"/>
  </w:num>
  <w:num w:numId="27">
    <w:abstractNumId w:val="15"/>
  </w:num>
  <w:num w:numId="28">
    <w:abstractNumId w:val="25"/>
  </w:num>
  <w:num w:numId="29">
    <w:abstractNumId w:val="24"/>
  </w:num>
  <w:num w:numId="30">
    <w:abstractNumId w:val="10"/>
  </w:num>
  <w:num w:numId="31">
    <w:abstractNumId w:val="2"/>
  </w:num>
  <w:num w:numId="32">
    <w:abstractNumId w:val="21"/>
  </w:num>
  <w:num w:numId="33">
    <w:abstractNumId w:val="4"/>
  </w:num>
  <w:num w:numId="34">
    <w:abstractNumId w:val="3"/>
  </w:num>
  <w:num w:numId="35">
    <w:abstractNumId w:val="6"/>
  </w:num>
  <w:num w:numId="36">
    <w:abstractNumId w:val="26"/>
  </w:num>
  <w:num w:numId="37">
    <w:abstractNumId w:val="12"/>
  </w:num>
  <w:num w:numId="38">
    <w:abstractNumId w:val="8"/>
  </w:num>
  <w:num w:numId="39">
    <w:abstractNumId w:val="35"/>
  </w:num>
  <w:num w:numId="40">
    <w:abstractNumId w:val="22"/>
  </w:num>
  <w:num w:numId="41">
    <w:abstractNumId w:val="29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CD"/>
    <w:rsid w:val="00002511"/>
    <w:rsid w:val="00015C0F"/>
    <w:rsid w:val="00026C4F"/>
    <w:rsid w:val="000515F0"/>
    <w:rsid w:val="000529A3"/>
    <w:rsid w:val="00054769"/>
    <w:rsid w:val="00072627"/>
    <w:rsid w:val="00093DD9"/>
    <w:rsid w:val="000B292F"/>
    <w:rsid w:val="000C389A"/>
    <w:rsid w:val="000C3A5C"/>
    <w:rsid w:val="000D63C9"/>
    <w:rsid w:val="000E1EFB"/>
    <w:rsid w:val="000E579C"/>
    <w:rsid w:val="001028B3"/>
    <w:rsid w:val="001229FB"/>
    <w:rsid w:val="00123F92"/>
    <w:rsid w:val="0014208A"/>
    <w:rsid w:val="0017071E"/>
    <w:rsid w:val="00191B12"/>
    <w:rsid w:val="001A5B58"/>
    <w:rsid w:val="001B5C11"/>
    <w:rsid w:val="001D028F"/>
    <w:rsid w:val="001D730B"/>
    <w:rsid w:val="00223128"/>
    <w:rsid w:val="00231485"/>
    <w:rsid w:val="0023274E"/>
    <w:rsid w:val="00232E32"/>
    <w:rsid w:val="00236038"/>
    <w:rsid w:val="00257000"/>
    <w:rsid w:val="00272F5A"/>
    <w:rsid w:val="00275DCA"/>
    <w:rsid w:val="00292D05"/>
    <w:rsid w:val="002A2833"/>
    <w:rsid w:val="002A7EC5"/>
    <w:rsid w:val="002B543A"/>
    <w:rsid w:val="002C4AA5"/>
    <w:rsid w:val="002D1D88"/>
    <w:rsid w:val="002D659F"/>
    <w:rsid w:val="002E36C9"/>
    <w:rsid w:val="002F1EC8"/>
    <w:rsid w:val="00336288"/>
    <w:rsid w:val="00364CC8"/>
    <w:rsid w:val="00382334"/>
    <w:rsid w:val="00391950"/>
    <w:rsid w:val="003C1733"/>
    <w:rsid w:val="003E15EA"/>
    <w:rsid w:val="003E513C"/>
    <w:rsid w:val="004055EC"/>
    <w:rsid w:val="004104BC"/>
    <w:rsid w:val="00421661"/>
    <w:rsid w:val="00466C59"/>
    <w:rsid w:val="00466FA5"/>
    <w:rsid w:val="00477748"/>
    <w:rsid w:val="004A4C62"/>
    <w:rsid w:val="004A54CB"/>
    <w:rsid w:val="004C58EE"/>
    <w:rsid w:val="004D5CDE"/>
    <w:rsid w:val="004E2BF6"/>
    <w:rsid w:val="004E4BDE"/>
    <w:rsid w:val="00506FEC"/>
    <w:rsid w:val="00527960"/>
    <w:rsid w:val="0054597F"/>
    <w:rsid w:val="00551AAE"/>
    <w:rsid w:val="00551F3B"/>
    <w:rsid w:val="0057092B"/>
    <w:rsid w:val="00571BCF"/>
    <w:rsid w:val="005A1F5A"/>
    <w:rsid w:val="005B684A"/>
    <w:rsid w:val="005D5633"/>
    <w:rsid w:val="005D581C"/>
    <w:rsid w:val="006074C5"/>
    <w:rsid w:val="0061064B"/>
    <w:rsid w:val="00611458"/>
    <w:rsid w:val="00616791"/>
    <w:rsid w:val="0062074A"/>
    <w:rsid w:val="006262A2"/>
    <w:rsid w:val="0063402F"/>
    <w:rsid w:val="00660FD5"/>
    <w:rsid w:val="006653E4"/>
    <w:rsid w:val="006734BF"/>
    <w:rsid w:val="00675E02"/>
    <w:rsid w:val="006A29DD"/>
    <w:rsid w:val="006A546B"/>
    <w:rsid w:val="006B7986"/>
    <w:rsid w:val="006C4EF9"/>
    <w:rsid w:val="006C710C"/>
    <w:rsid w:val="006D2C80"/>
    <w:rsid w:val="006E1761"/>
    <w:rsid w:val="00706570"/>
    <w:rsid w:val="0072344C"/>
    <w:rsid w:val="007422EA"/>
    <w:rsid w:val="00773C08"/>
    <w:rsid w:val="00794A5D"/>
    <w:rsid w:val="007A43A8"/>
    <w:rsid w:val="007D6033"/>
    <w:rsid w:val="007F5AEC"/>
    <w:rsid w:val="00835833"/>
    <w:rsid w:val="0084108C"/>
    <w:rsid w:val="008426B0"/>
    <w:rsid w:val="00846D2D"/>
    <w:rsid w:val="00851BDD"/>
    <w:rsid w:val="0086785D"/>
    <w:rsid w:val="008B0BE6"/>
    <w:rsid w:val="008B14D5"/>
    <w:rsid w:val="008D11E8"/>
    <w:rsid w:val="008E0E40"/>
    <w:rsid w:val="00902F75"/>
    <w:rsid w:val="00943438"/>
    <w:rsid w:val="00960E6A"/>
    <w:rsid w:val="0096275B"/>
    <w:rsid w:val="00965C1A"/>
    <w:rsid w:val="009A0B3B"/>
    <w:rsid w:val="009A4C79"/>
    <w:rsid w:val="009C1166"/>
    <w:rsid w:val="009C123F"/>
    <w:rsid w:val="009E5699"/>
    <w:rsid w:val="009F6D2D"/>
    <w:rsid w:val="00A06081"/>
    <w:rsid w:val="00A14840"/>
    <w:rsid w:val="00A33BDE"/>
    <w:rsid w:val="00A746A9"/>
    <w:rsid w:val="00A9290C"/>
    <w:rsid w:val="00A935F2"/>
    <w:rsid w:val="00AA3F16"/>
    <w:rsid w:val="00AA5CDD"/>
    <w:rsid w:val="00AB21E0"/>
    <w:rsid w:val="00AB65B6"/>
    <w:rsid w:val="00AC5BDD"/>
    <w:rsid w:val="00AD0FAF"/>
    <w:rsid w:val="00AD3652"/>
    <w:rsid w:val="00AD6E3C"/>
    <w:rsid w:val="00B42CF0"/>
    <w:rsid w:val="00B50B24"/>
    <w:rsid w:val="00B67208"/>
    <w:rsid w:val="00B9110D"/>
    <w:rsid w:val="00BE2819"/>
    <w:rsid w:val="00BF54DA"/>
    <w:rsid w:val="00C0367C"/>
    <w:rsid w:val="00C5456E"/>
    <w:rsid w:val="00C62C8B"/>
    <w:rsid w:val="00C71759"/>
    <w:rsid w:val="00C77909"/>
    <w:rsid w:val="00C803F9"/>
    <w:rsid w:val="00C834B7"/>
    <w:rsid w:val="00C91EF3"/>
    <w:rsid w:val="00C9463E"/>
    <w:rsid w:val="00C97815"/>
    <w:rsid w:val="00CA08A5"/>
    <w:rsid w:val="00CA32B4"/>
    <w:rsid w:val="00CB3ACB"/>
    <w:rsid w:val="00CC4FCB"/>
    <w:rsid w:val="00CE260C"/>
    <w:rsid w:val="00CF68AD"/>
    <w:rsid w:val="00D12879"/>
    <w:rsid w:val="00D234AC"/>
    <w:rsid w:val="00D2596D"/>
    <w:rsid w:val="00D37174"/>
    <w:rsid w:val="00D558D0"/>
    <w:rsid w:val="00D938CB"/>
    <w:rsid w:val="00D9485C"/>
    <w:rsid w:val="00D9733A"/>
    <w:rsid w:val="00DB54F9"/>
    <w:rsid w:val="00DB6850"/>
    <w:rsid w:val="00DB773F"/>
    <w:rsid w:val="00DC1BB0"/>
    <w:rsid w:val="00DD1B21"/>
    <w:rsid w:val="00DE1FF9"/>
    <w:rsid w:val="00DE28CD"/>
    <w:rsid w:val="00DF1138"/>
    <w:rsid w:val="00E15EC1"/>
    <w:rsid w:val="00E24C11"/>
    <w:rsid w:val="00E3597E"/>
    <w:rsid w:val="00E537FA"/>
    <w:rsid w:val="00E57EAB"/>
    <w:rsid w:val="00E745AE"/>
    <w:rsid w:val="00E9007F"/>
    <w:rsid w:val="00EA723C"/>
    <w:rsid w:val="00EA7B6C"/>
    <w:rsid w:val="00EE15BC"/>
    <w:rsid w:val="00EE37EC"/>
    <w:rsid w:val="00F03F9D"/>
    <w:rsid w:val="00F37D8A"/>
    <w:rsid w:val="00F56CD9"/>
    <w:rsid w:val="00F84883"/>
    <w:rsid w:val="00F87A8E"/>
    <w:rsid w:val="00F9026D"/>
    <w:rsid w:val="00F90336"/>
    <w:rsid w:val="00FA0631"/>
    <w:rsid w:val="00FA3566"/>
    <w:rsid w:val="00FB4DCD"/>
    <w:rsid w:val="00FB7F86"/>
    <w:rsid w:val="00FC3196"/>
    <w:rsid w:val="00FC784D"/>
    <w:rsid w:val="00FE2AE8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8B55"/>
  <w15:docId w15:val="{697A2CF1-2414-49FE-BD9C-6D804383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77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7748"/>
  </w:style>
  <w:style w:type="paragraph" w:styleId="Pieddepage">
    <w:name w:val="footer"/>
    <w:basedOn w:val="Normal"/>
    <w:link w:val="PieddepageCar"/>
    <w:uiPriority w:val="99"/>
    <w:unhideWhenUsed/>
    <w:rsid w:val="00477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7748"/>
  </w:style>
  <w:style w:type="paragraph" w:styleId="Paragraphedeliste">
    <w:name w:val="List Paragraph"/>
    <w:basedOn w:val="Normal"/>
    <w:uiPriority w:val="34"/>
    <w:qFormat/>
    <w:rsid w:val="00F37D8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834B7"/>
    <w:rPr>
      <w:color w:val="9C8D4F"/>
      <w:u w:val="single"/>
    </w:rPr>
  </w:style>
  <w:style w:type="paragraph" w:styleId="Notedebasdepage">
    <w:name w:val="footnote text"/>
    <w:basedOn w:val="Normal"/>
    <w:link w:val="NotedebasdepageCar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C834B7"/>
    <w:rPr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C834B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7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7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7000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2570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5700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5700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570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57000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DF1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DE1F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eris.fr/aida/sites/default/files/gesdoc/87464/guide_DCE_version_2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eorisques.gouv.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aufranc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C4000-ED83-43FB-B02C-C8C67643F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476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FENARIVE FENARIVE</dc:creator>
  <cp:lastModifiedBy>sylvie</cp:lastModifiedBy>
  <cp:revision>37</cp:revision>
  <dcterms:created xsi:type="dcterms:W3CDTF">2016-05-26T09:39:00Z</dcterms:created>
  <dcterms:modified xsi:type="dcterms:W3CDTF">2016-06-21T09:37:00Z</dcterms:modified>
</cp:coreProperties>
</file>