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EB" w:rsidRDefault="00CD3DBC" w:rsidP="008F47EB">
      <w:pPr>
        <w:spacing w:line="240" w:lineRule="auto"/>
        <w:rPr>
          <w:b/>
          <w:sz w:val="48"/>
          <w:szCs w:val="48"/>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208280</wp:posOffset>
                </wp:positionV>
                <wp:extent cx="6762750" cy="1162050"/>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1162050"/>
                        </a:xfrm>
                        <a:prstGeom prst="rect">
                          <a:avLst/>
                        </a:prstGeom>
                        <a:solidFill>
                          <a:schemeClr val="bg1">
                            <a:lumMod val="95000"/>
                            <a:lumOff val="0"/>
                          </a:schemeClr>
                        </a:solidFill>
                        <a:ln w="12700" cap="flat" cmpd="sng" algn="ctr">
                          <a:solidFill>
                            <a:schemeClr val="accent5">
                              <a:lumMod val="100000"/>
                              <a:lumOff val="0"/>
                            </a:schemeClr>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F47EB" w:rsidRPr="00A16433" w:rsidRDefault="008F47EB"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Directive 2010/75/UE relative aux </w:t>
                            </w:r>
                          </w:p>
                          <w:p w:rsidR="008F47EB" w:rsidRPr="00A16433" w:rsidRDefault="008F47EB"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émissions</w:t>
                            </w:r>
                            <w:proofErr w:type="gramEnd"/>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industrielles, dite IED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8.35pt;margin-top:16.4pt;width:532.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" fillcolor="#f2f2f2 [3052]" strokecolor="#4472c4 [3208]" strokeweight="1pt">
                <v:shadow color="#868686"/>
                <v:textbox>
                  <w:txbxContent>
                    <w:p w:rsidR="008F47EB" w:rsidRPr="00A16433" w:rsidRDefault="008F47EB"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Directive 2010/75/UE relative aux </w:t>
                      </w:r>
                    </w:p>
                    <w:p w:rsidR="008F47EB" w:rsidRPr="00A16433" w:rsidRDefault="008F47EB" w:rsidP="008F47EB">
                      <w:pPr>
                        <w:spacing w:line="240" w:lineRule="auto"/>
                        <w:jc w:val="center"/>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roofErr w:type="gramStart"/>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émissions</w:t>
                      </w:r>
                      <w:proofErr w:type="gramEnd"/>
                      <w:r w:rsidRPr="00A16433">
                        <w:rPr>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industrielles, dite IED</w:t>
                      </w:r>
                    </w:p>
                  </w:txbxContent>
                </v:textbox>
              </v:rect>
            </w:pict>
          </mc:Fallback>
        </mc:AlternateContent>
      </w:r>
    </w:p>
    <w:p w:rsidR="008F47EB" w:rsidRDefault="008F47EB" w:rsidP="004404E5">
      <w:pPr>
        <w:spacing w:before="100" w:beforeAutospacing="1" w:after="240" w:line="240" w:lineRule="auto"/>
        <w:jc w:val="both"/>
        <w:rPr>
          <w:b/>
          <w:color w:val="FF0000"/>
          <w:sz w:val="36"/>
          <w:szCs w:val="36"/>
        </w:rPr>
      </w:pPr>
    </w:p>
    <w:p w:rsidR="008F47EB" w:rsidRDefault="008F47EB" w:rsidP="004404E5">
      <w:pPr>
        <w:spacing w:before="100" w:beforeAutospacing="1" w:after="240" w:line="240" w:lineRule="auto"/>
        <w:jc w:val="both"/>
        <w:rPr>
          <w:b/>
          <w:color w:val="FF0000"/>
          <w:sz w:val="36"/>
          <w:szCs w:val="36"/>
        </w:rPr>
      </w:pPr>
    </w:p>
    <w:p w:rsidR="00117874" w:rsidRDefault="00117874" w:rsidP="004404E5">
      <w:pPr>
        <w:spacing w:before="100" w:beforeAutospacing="1" w:after="240" w:line="240" w:lineRule="auto"/>
        <w:jc w:val="both"/>
        <w:rPr>
          <w:b/>
          <w:color w:val="FF0000"/>
          <w:sz w:val="36"/>
          <w:szCs w:val="36"/>
        </w:rPr>
      </w:pPr>
    </w:p>
    <w:p w:rsidR="004404E5" w:rsidRDefault="001A4152" w:rsidP="004404E5">
      <w:pPr>
        <w:spacing w:before="100" w:beforeAutospacing="1" w:after="240" w:line="240" w:lineRule="auto"/>
        <w:jc w:val="both"/>
        <w:rPr>
          <w:b/>
          <w:color w:val="FF0000"/>
          <w:sz w:val="36"/>
          <w:szCs w:val="36"/>
        </w:rPr>
      </w:pPr>
      <w:r w:rsidRPr="001071C1">
        <w:rPr>
          <w:b/>
          <w:noProof/>
          <w:color w:val="FF0000"/>
          <w:sz w:val="36"/>
          <w:szCs w:val="36"/>
          <w:lang w:eastAsia="fr-FR"/>
        </w:rPr>
        <mc:AlternateContent>
          <mc:Choice Requires="wps">
            <w:drawing>
              <wp:anchor distT="45720" distB="45720" distL="114300" distR="114300" simplePos="0" relativeHeight="251661312" behindDoc="0" locked="0" layoutInCell="1" allowOverlap="1" wp14:anchorId="1C43696F" wp14:editId="613099BE">
                <wp:simplePos x="0" y="0"/>
                <wp:positionH relativeFrom="column">
                  <wp:posOffset>2538730</wp:posOffset>
                </wp:positionH>
                <wp:positionV relativeFrom="paragraph">
                  <wp:posOffset>427990</wp:posOffset>
                </wp:positionV>
                <wp:extent cx="3419475" cy="15811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81150"/>
                        </a:xfrm>
                        <a:prstGeom prst="rect">
                          <a:avLst/>
                        </a:prstGeom>
                        <a:solidFill>
                          <a:srgbClr val="FFFFFF"/>
                        </a:solidFill>
                        <a:ln w="9525">
                          <a:solidFill>
                            <a:srgbClr val="000000"/>
                          </a:solidFill>
                          <a:miter lim="800000"/>
                          <a:headEnd/>
                          <a:tailEnd/>
                        </a:ln>
                      </wps:spPr>
                      <wps:txbx>
                        <w:txbxContent>
                          <w:p w:rsidR="001071C1" w:rsidRPr="001071C1" w:rsidRDefault="001071C1" w:rsidP="001071C1">
                            <w:pPr>
                              <w:jc w:val="both"/>
                              <w:rPr>
                                <w:rStyle w:val="Lienhypertexte"/>
                                <w:color w:val="auto"/>
                                <w:u w:val="none"/>
                              </w:rPr>
                            </w:pPr>
                            <w:r w:rsidRPr="001071C1">
                              <w:rPr>
                                <w:b/>
                              </w:rPr>
                              <w:t>Objectifs de l’IED</w:t>
                            </w:r>
                            <w:r>
                              <w:t xml:space="preserve"> : </w:t>
                            </w:r>
                            <w:r w:rsidRPr="001071C1">
                              <w:rPr>
                                <w:rStyle w:val="Lienhypertexte"/>
                                <w:color w:val="auto"/>
                                <w:u w:val="none"/>
                              </w:rPr>
                              <w:t>prévention et réduction des pollutions émises par les installations industrielles et agricoles</w:t>
                            </w:r>
                          </w:p>
                          <w:p w:rsidR="00AB6987" w:rsidRDefault="001071C1" w:rsidP="001071C1">
                            <w:pPr>
                              <w:jc w:val="both"/>
                              <w:rPr>
                                <w:rStyle w:val="Lienhypertexte"/>
                                <w:color w:val="auto"/>
                                <w:u w:val="none"/>
                              </w:rPr>
                            </w:pPr>
                            <w:r w:rsidRPr="001071C1">
                              <w:rPr>
                                <w:rStyle w:val="Lienhypertexte"/>
                                <w:b/>
                                <w:color w:val="auto"/>
                                <w:u w:val="none"/>
                              </w:rPr>
                              <w:t>Activités</w:t>
                            </w:r>
                            <w:r w:rsidRPr="00AB6987">
                              <w:rPr>
                                <w:rStyle w:val="Lienhypertexte"/>
                                <w:b/>
                                <w:color w:val="auto"/>
                                <w:u w:val="none"/>
                              </w:rPr>
                              <w:t> </w:t>
                            </w:r>
                            <w:r w:rsidR="00AB6987" w:rsidRPr="00AB6987">
                              <w:rPr>
                                <w:rStyle w:val="Lienhypertexte"/>
                                <w:b/>
                                <w:color w:val="auto"/>
                                <w:u w:val="none"/>
                              </w:rPr>
                              <w:t>concernées</w:t>
                            </w:r>
                            <w:r w:rsidR="00AB6987">
                              <w:rPr>
                                <w:rStyle w:val="Lienhypertexte"/>
                                <w:color w:val="auto"/>
                                <w:u w:val="none"/>
                              </w:rPr>
                              <w:t xml:space="preserve"> </w:t>
                            </w:r>
                            <w:r>
                              <w:rPr>
                                <w:rStyle w:val="Lienhypertexte"/>
                                <w:color w:val="auto"/>
                                <w:u w:val="none"/>
                              </w:rPr>
                              <w:t xml:space="preserve">: </w:t>
                            </w:r>
                          </w:p>
                          <w:p w:rsidR="00AB6987" w:rsidRDefault="00AB6987" w:rsidP="00AB6987">
                            <w:pPr>
                              <w:pStyle w:val="Paragraphedeliste"/>
                              <w:numPr>
                                <w:ilvl w:val="0"/>
                                <w:numId w:val="12"/>
                              </w:numPr>
                              <w:jc w:val="both"/>
                              <w:rPr>
                                <w:rStyle w:val="Lienhypertexte"/>
                                <w:color w:val="auto"/>
                                <w:u w:val="none"/>
                              </w:rPr>
                            </w:pPr>
                            <w:proofErr w:type="spellStart"/>
                            <w:r w:rsidRPr="00AB6987">
                              <w:rPr>
                                <w:rStyle w:val="Lienhypertexte"/>
                                <w:color w:val="auto"/>
                                <w:u w:val="none"/>
                              </w:rPr>
                              <w:t>C</w:t>
                            </w:r>
                            <w:r>
                              <w:rPr>
                                <w:rStyle w:val="Lienhypertexte"/>
                                <w:color w:val="auto"/>
                                <w:u w:val="none"/>
                              </w:rPr>
                              <w:t>f</w:t>
                            </w:r>
                            <w:proofErr w:type="spellEnd"/>
                            <w:r>
                              <w:rPr>
                                <w:rStyle w:val="Lienhypertexte"/>
                                <w:color w:val="auto"/>
                                <w:u w:val="none"/>
                              </w:rPr>
                              <w:t xml:space="preserve"> </w:t>
                            </w:r>
                            <w:r w:rsidR="001071C1" w:rsidRPr="00AB6987">
                              <w:rPr>
                                <w:rStyle w:val="Lienhypertexte"/>
                                <w:color w:val="auto"/>
                                <w:u w:val="none"/>
                              </w:rPr>
                              <w:t>chapitre II de la directive IED</w:t>
                            </w:r>
                          </w:p>
                          <w:p w:rsidR="00AB6987" w:rsidRDefault="00AB6987" w:rsidP="00AB6987">
                            <w:pPr>
                              <w:pStyle w:val="Paragraphedeliste"/>
                              <w:numPr>
                                <w:ilvl w:val="0"/>
                                <w:numId w:val="12"/>
                              </w:numPr>
                              <w:jc w:val="both"/>
                              <w:rPr>
                                <w:rStyle w:val="Lienhypertexte"/>
                                <w:color w:val="auto"/>
                                <w:u w:val="none"/>
                              </w:rPr>
                            </w:pPr>
                            <w:proofErr w:type="spellStart"/>
                            <w:r>
                              <w:rPr>
                                <w:rStyle w:val="Lienhypertexte"/>
                                <w:color w:val="auto"/>
                                <w:u w:val="none"/>
                              </w:rPr>
                              <w:t>cf</w:t>
                            </w:r>
                            <w:proofErr w:type="spellEnd"/>
                            <w:r w:rsidR="001071C1" w:rsidRPr="00AB6987">
                              <w:rPr>
                                <w:rStyle w:val="Lienhypertexte"/>
                                <w:color w:val="auto"/>
                                <w:u w:val="none"/>
                              </w:rPr>
                              <w:t xml:space="preserve"> liste à l’annexe I </w:t>
                            </w:r>
                            <w:r>
                              <w:rPr>
                                <w:rStyle w:val="Lienhypertexte"/>
                                <w:color w:val="auto"/>
                                <w:u w:val="none"/>
                              </w:rPr>
                              <w:t>de la directive IED</w:t>
                            </w:r>
                          </w:p>
                          <w:p w:rsidR="001071C1" w:rsidRPr="00AB6987" w:rsidRDefault="00AB6987" w:rsidP="00AB6987">
                            <w:pPr>
                              <w:pStyle w:val="Paragraphedeliste"/>
                              <w:numPr>
                                <w:ilvl w:val="0"/>
                                <w:numId w:val="12"/>
                              </w:numPr>
                              <w:jc w:val="both"/>
                              <w:rPr>
                                <w:rStyle w:val="Lienhypertexte"/>
                                <w:color w:val="auto"/>
                                <w:u w:val="none"/>
                              </w:rPr>
                            </w:pPr>
                            <w:proofErr w:type="spellStart"/>
                            <w:r>
                              <w:rPr>
                                <w:rStyle w:val="Lienhypertexte"/>
                                <w:color w:val="auto"/>
                                <w:u w:val="none"/>
                              </w:rPr>
                              <w:t>cf</w:t>
                            </w:r>
                            <w:proofErr w:type="spellEnd"/>
                            <w:r>
                              <w:rPr>
                                <w:rStyle w:val="Lienhypertexte"/>
                                <w:color w:val="auto"/>
                                <w:u w:val="none"/>
                              </w:rPr>
                              <w:t xml:space="preserve"> installations classées IED sous la </w:t>
                            </w:r>
                            <w:r w:rsidR="001071C1" w:rsidRPr="00AB6987">
                              <w:rPr>
                                <w:rStyle w:val="Lienhypertexte"/>
                                <w:color w:val="auto"/>
                                <w:u w:val="none"/>
                              </w:rPr>
                              <w:t>rubrique 3000 de la nomenclature ICPE</w:t>
                            </w:r>
                            <w:r>
                              <w:rPr>
                                <w:rStyle w:val="Lienhypertexte"/>
                                <w:color w:val="auto"/>
                                <w:u w:val="none"/>
                              </w:rPr>
                              <w:t>, soumises à autorisation</w:t>
                            </w:r>
                          </w:p>
                          <w:p w:rsidR="001071C1" w:rsidRDefault="001071C1"/>
                          <w:p w:rsidR="001071C1" w:rsidRDefault="001071C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3696F" id="_x0000_t202" coordsize="21600,21600" o:spt="202" path="m,l,21600r21600,l21600,xe">
                <v:stroke joinstyle="miter"/>
                <v:path gradientshapeok="t" o:connecttype="rect"/>
              </v:shapetype>
              <v:shape id="Zone de texte 2" o:spid="_x0000_s1027" type="#_x0000_t202" style="position:absolute;left:0;text-align:left;margin-left:199.9pt;margin-top:33.7pt;width:269.25pt;height:12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">
                <v:textbox>
                  <w:txbxContent>
                    <w:p w:rsidR="001071C1" w:rsidRPr="001071C1" w:rsidRDefault="001071C1" w:rsidP="001071C1">
                      <w:pPr>
                        <w:jc w:val="both"/>
                        <w:rPr>
                          <w:rStyle w:val="Lienhypertexte"/>
                          <w:color w:val="auto"/>
                          <w:u w:val="none"/>
                        </w:rPr>
                      </w:pPr>
                      <w:r w:rsidRPr="001071C1">
                        <w:rPr>
                          <w:b/>
                        </w:rPr>
                        <w:t>Objectifs de l’IED</w:t>
                      </w:r>
                      <w:r>
                        <w:t xml:space="preserve"> : </w:t>
                      </w:r>
                      <w:r w:rsidRPr="001071C1">
                        <w:rPr>
                          <w:rStyle w:val="Lienhypertexte"/>
                          <w:color w:val="auto"/>
                          <w:u w:val="none"/>
                        </w:rPr>
                        <w:t>prévention et réduction des pollutions émises par les installations industrielles et agricoles</w:t>
                      </w:r>
                    </w:p>
                    <w:p w:rsidR="00AB6987" w:rsidRDefault="001071C1" w:rsidP="001071C1">
                      <w:pPr>
                        <w:jc w:val="both"/>
                        <w:rPr>
                          <w:rStyle w:val="Lienhypertexte"/>
                          <w:color w:val="auto"/>
                          <w:u w:val="none"/>
                        </w:rPr>
                      </w:pPr>
                      <w:r w:rsidRPr="001071C1">
                        <w:rPr>
                          <w:rStyle w:val="Lienhypertexte"/>
                          <w:b/>
                          <w:color w:val="auto"/>
                          <w:u w:val="none"/>
                        </w:rPr>
                        <w:t>Activités</w:t>
                      </w:r>
                      <w:r w:rsidRPr="00AB6987">
                        <w:rPr>
                          <w:rStyle w:val="Lienhypertexte"/>
                          <w:b/>
                          <w:color w:val="auto"/>
                          <w:u w:val="none"/>
                        </w:rPr>
                        <w:t> </w:t>
                      </w:r>
                      <w:r w:rsidR="00AB6987" w:rsidRPr="00AB6987">
                        <w:rPr>
                          <w:rStyle w:val="Lienhypertexte"/>
                          <w:b/>
                          <w:color w:val="auto"/>
                          <w:u w:val="none"/>
                        </w:rPr>
                        <w:t>concernées</w:t>
                      </w:r>
                      <w:r w:rsidR="00AB6987">
                        <w:rPr>
                          <w:rStyle w:val="Lienhypertexte"/>
                          <w:color w:val="auto"/>
                          <w:u w:val="none"/>
                        </w:rPr>
                        <w:t xml:space="preserve"> </w:t>
                      </w:r>
                      <w:r>
                        <w:rPr>
                          <w:rStyle w:val="Lienhypertexte"/>
                          <w:color w:val="auto"/>
                          <w:u w:val="none"/>
                        </w:rPr>
                        <w:t xml:space="preserve">: </w:t>
                      </w:r>
                    </w:p>
                    <w:p w:rsidR="00AB6987" w:rsidRDefault="00AB6987" w:rsidP="00AB6987">
                      <w:pPr>
                        <w:pStyle w:val="Paragraphedeliste"/>
                        <w:numPr>
                          <w:ilvl w:val="0"/>
                          <w:numId w:val="12"/>
                        </w:numPr>
                        <w:jc w:val="both"/>
                        <w:rPr>
                          <w:rStyle w:val="Lienhypertexte"/>
                          <w:color w:val="auto"/>
                          <w:u w:val="none"/>
                        </w:rPr>
                      </w:pPr>
                      <w:proofErr w:type="spellStart"/>
                      <w:r w:rsidRPr="00AB6987">
                        <w:rPr>
                          <w:rStyle w:val="Lienhypertexte"/>
                          <w:color w:val="auto"/>
                          <w:u w:val="none"/>
                        </w:rPr>
                        <w:t>C</w:t>
                      </w:r>
                      <w:r>
                        <w:rPr>
                          <w:rStyle w:val="Lienhypertexte"/>
                          <w:color w:val="auto"/>
                          <w:u w:val="none"/>
                        </w:rPr>
                        <w:t>f</w:t>
                      </w:r>
                      <w:proofErr w:type="spellEnd"/>
                      <w:r>
                        <w:rPr>
                          <w:rStyle w:val="Lienhypertexte"/>
                          <w:color w:val="auto"/>
                          <w:u w:val="none"/>
                        </w:rPr>
                        <w:t xml:space="preserve"> </w:t>
                      </w:r>
                      <w:r w:rsidR="001071C1" w:rsidRPr="00AB6987">
                        <w:rPr>
                          <w:rStyle w:val="Lienhypertexte"/>
                          <w:color w:val="auto"/>
                          <w:u w:val="none"/>
                        </w:rPr>
                        <w:t>chapitre II de la directive IED</w:t>
                      </w:r>
                    </w:p>
                    <w:p w:rsidR="00AB6987" w:rsidRDefault="00AB6987" w:rsidP="00AB6987">
                      <w:pPr>
                        <w:pStyle w:val="Paragraphedeliste"/>
                        <w:numPr>
                          <w:ilvl w:val="0"/>
                          <w:numId w:val="12"/>
                        </w:numPr>
                        <w:jc w:val="both"/>
                        <w:rPr>
                          <w:rStyle w:val="Lienhypertexte"/>
                          <w:color w:val="auto"/>
                          <w:u w:val="none"/>
                        </w:rPr>
                      </w:pPr>
                      <w:proofErr w:type="spellStart"/>
                      <w:r>
                        <w:rPr>
                          <w:rStyle w:val="Lienhypertexte"/>
                          <w:color w:val="auto"/>
                          <w:u w:val="none"/>
                        </w:rPr>
                        <w:t>cf</w:t>
                      </w:r>
                      <w:proofErr w:type="spellEnd"/>
                      <w:r w:rsidR="001071C1" w:rsidRPr="00AB6987">
                        <w:rPr>
                          <w:rStyle w:val="Lienhypertexte"/>
                          <w:color w:val="auto"/>
                          <w:u w:val="none"/>
                        </w:rPr>
                        <w:t xml:space="preserve"> liste à l’annexe I </w:t>
                      </w:r>
                      <w:r>
                        <w:rPr>
                          <w:rStyle w:val="Lienhypertexte"/>
                          <w:color w:val="auto"/>
                          <w:u w:val="none"/>
                        </w:rPr>
                        <w:t>de la directive IED</w:t>
                      </w:r>
                    </w:p>
                    <w:p w:rsidR="001071C1" w:rsidRPr="00AB6987" w:rsidRDefault="00AB6987" w:rsidP="00AB6987">
                      <w:pPr>
                        <w:pStyle w:val="Paragraphedeliste"/>
                        <w:numPr>
                          <w:ilvl w:val="0"/>
                          <w:numId w:val="12"/>
                        </w:numPr>
                        <w:jc w:val="both"/>
                        <w:rPr>
                          <w:rStyle w:val="Lienhypertexte"/>
                          <w:color w:val="auto"/>
                          <w:u w:val="none"/>
                        </w:rPr>
                      </w:pPr>
                      <w:proofErr w:type="spellStart"/>
                      <w:r>
                        <w:rPr>
                          <w:rStyle w:val="Lienhypertexte"/>
                          <w:color w:val="auto"/>
                          <w:u w:val="none"/>
                        </w:rPr>
                        <w:t>cf</w:t>
                      </w:r>
                      <w:proofErr w:type="spellEnd"/>
                      <w:r>
                        <w:rPr>
                          <w:rStyle w:val="Lienhypertexte"/>
                          <w:color w:val="auto"/>
                          <w:u w:val="none"/>
                        </w:rPr>
                        <w:t xml:space="preserve"> installations classées IED sous la </w:t>
                      </w:r>
                      <w:r w:rsidR="001071C1" w:rsidRPr="00AB6987">
                        <w:rPr>
                          <w:rStyle w:val="Lienhypertexte"/>
                          <w:color w:val="auto"/>
                          <w:u w:val="none"/>
                        </w:rPr>
                        <w:t>rubrique 3000 de la nomenclature ICPE</w:t>
                      </w:r>
                      <w:r>
                        <w:rPr>
                          <w:rStyle w:val="Lienhypertexte"/>
                          <w:color w:val="auto"/>
                          <w:u w:val="none"/>
                        </w:rPr>
                        <w:t>, soumises à autorisation</w:t>
                      </w:r>
                    </w:p>
                    <w:p w:rsidR="001071C1" w:rsidRDefault="001071C1"/>
                    <w:p w:rsidR="001071C1" w:rsidRDefault="001071C1"/>
                  </w:txbxContent>
                </v:textbox>
                <w10:wrap type="square"/>
              </v:shape>
            </w:pict>
          </mc:Fallback>
        </mc:AlternateContent>
      </w:r>
      <w:r w:rsidR="00953906">
        <w:rPr>
          <w:b/>
          <w:color w:val="FF0000"/>
          <w:sz w:val="36"/>
          <w:szCs w:val="36"/>
        </w:rPr>
        <w:t xml:space="preserve">IED : </w:t>
      </w:r>
      <w:r w:rsidR="00D26E63">
        <w:rPr>
          <w:b/>
          <w:color w:val="FF0000"/>
          <w:sz w:val="36"/>
          <w:szCs w:val="36"/>
        </w:rPr>
        <w:t>pour</w:t>
      </w:r>
      <w:r w:rsidR="00953906">
        <w:rPr>
          <w:b/>
          <w:color w:val="FF0000"/>
          <w:sz w:val="36"/>
          <w:szCs w:val="36"/>
        </w:rPr>
        <w:t xml:space="preserve">quoi et pour qui </w:t>
      </w:r>
    </w:p>
    <w:p w:rsidR="001071C1" w:rsidRDefault="00CC56FC" w:rsidP="004404E5">
      <w:pPr>
        <w:spacing w:before="100" w:beforeAutospacing="1" w:after="240" w:line="240" w:lineRule="auto"/>
        <w:jc w:val="both"/>
        <w:rPr>
          <w:b/>
          <w:color w:val="FF0000"/>
          <w:sz w:val="36"/>
          <w:szCs w:val="36"/>
        </w:rPr>
      </w:pPr>
      <w:r>
        <w:rPr>
          <w:rFonts w:ascii="Arial" w:hAnsi="Arial" w:cs="Arial"/>
          <w:noProof/>
          <w:sz w:val="20"/>
          <w:szCs w:val="20"/>
          <w:lang w:eastAsia="fr-FR"/>
        </w:rPr>
        <w:drawing>
          <wp:inline distT="0" distB="0" distL="0" distR="0" wp14:anchorId="3B98CF56" wp14:editId="7056D854">
            <wp:extent cx="2419350" cy="914400"/>
            <wp:effectExtent l="0" t="0" r="0" b="0"/>
            <wp:docPr id="8" name="Image 8" descr="http://www.techniques-ingenieur.fr/actualite/l-industrie-face-au-traitement-de-l-eau-edition_73926/figures/media_73926_media3/istock_000009087672small-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echniques-ingenieur.fr/actualite/l-industrie-face-au-traitement-de-l-eau-edition_73926/figures/media_73926_media3/istock_000009087672small-9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4521" cy="916354"/>
                    </a:xfrm>
                    <a:prstGeom prst="rect">
                      <a:avLst/>
                    </a:prstGeom>
                    <a:noFill/>
                    <a:ln>
                      <a:noFill/>
                    </a:ln>
                  </pic:spPr>
                </pic:pic>
              </a:graphicData>
            </a:graphic>
          </wp:inline>
        </w:drawing>
      </w:r>
    </w:p>
    <w:p w:rsidR="00CC56FC" w:rsidRDefault="00CC56FC" w:rsidP="004404E5">
      <w:pPr>
        <w:spacing w:before="100" w:beforeAutospacing="1" w:after="240" w:line="240" w:lineRule="auto"/>
        <w:jc w:val="both"/>
        <w:rPr>
          <w:b/>
          <w:color w:val="FF0000"/>
          <w:sz w:val="36"/>
          <w:szCs w:val="36"/>
        </w:rPr>
      </w:pPr>
    </w:p>
    <w:p w:rsidR="00AB6987" w:rsidRDefault="00F13E7F" w:rsidP="00F13E7F">
      <w:pPr>
        <w:tabs>
          <w:tab w:val="left" w:pos="1155"/>
        </w:tabs>
        <w:spacing w:before="100" w:beforeAutospacing="1" w:after="240" w:line="240" w:lineRule="auto"/>
        <w:jc w:val="both"/>
        <w:rPr>
          <w:b/>
          <w:color w:val="FF0000"/>
          <w:sz w:val="36"/>
          <w:szCs w:val="36"/>
        </w:rPr>
      </w:pPr>
      <w:r>
        <w:rPr>
          <w:b/>
          <w:color w:val="FF0000"/>
          <w:sz w:val="36"/>
          <w:szCs w:val="36"/>
        </w:rPr>
        <w:tab/>
      </w:r>
    </w:p>
    <w:p w:rsidR="00581E2A" w:rsidRPr="00581E2A" w:rsidRDefault="00581E2A" w:rsidP="00581E2A">
      <w:pPr>
        <w:keepNext/>
        <w:framePr w:dropCap="drop" w:lines="3" w:wrap="around" w:vAnchor="text" w:hAnchor="text"/>
        <w:spacing w:after="0" w:line="1349" w:lineRule="exact"/>
        <w:textAlignment w:val="baseline"/>
        <w:rPr>
          <w:rStyle w:val="Lienhypertexte"/>
          <w:color w:val="auto"/>
          <w:position w:val="-3"/>
          <w:sz w:val="167"/>
          <w:u w:val="none"/>
        </w:rPr>
      </w:pPr>
      <w:r w:rsidRPr="00581E2A">
        <w:rPr>
          <w:rStyle w:val="Lienhypertexte"/>
          <w:color w:val="auto"/>
          <w:position w:val="-3"/>
          <w:sz w:val="167"/>
          <w:u w:val="none"/>
        </w:rPr>
        <w:t>L</w:t>
      </w:r>
    </w:p>
    <w:p w:rsidR="00117874" w:rsidRDefault="00D53DDA" w:rsidP="00752621">
      <w:pPr>
        <w:jc w:val="both"/>
      </w:pPr>
      <w:r w:rsidRPr="00D53DDA">
        <w:rPr>
          <w:rStyle w:val="Lienhypertexte"/>
          <w:color w:val="auto"/>
          <w:u w:val="none"/>
        </w:rPr>
        <w:t xml:space="preserve">a directive </w:t>
      </w:r>
      <w:r w:rsidR="00752621">
        <w:t>2010/75/UE du 24/11/10 relative aux émissions industrielles</w:t>
      </w:r>
      <w:r w:rsidR="00752621">
        <w:rPr>
          <w:rStyle w:val="Lienhypertexte"/>
          <w:color w:val="auto"/>
          <w:u w:val="none"/>
        </w:rPr>
        <w:t xml:space="preserve">, dite </w:t>
      </w:r>
      <w:r w:rsidR="005B505C">
        <w:rPr>
          <w:rStyle w:val="Lienhypertexte"/>
          <w:color w:val="auto"/>
          <w:u w:val="none"/>
        </w:rPr>
        <w:t>IED</w:t>
      </w:r>
      <w:r w:rsidR="00752621">
        <w:rPr>
          <w:rStyle w:val="Lienhypertexte"/>
          <w:color w:val="auto"/>
          <w:u w:val="none"/>
        </w:rPr>
        <w:t>,</w:t>
      </w:r>
      <w:r w:rsidR="005B505C">
        <w:rPr>
          <w:rStyle w:val="Lienhypertexte"/>
          <w:color w:val="auto"/>
          <w:u w:val="none"/>
        </w:rPr>
        <w:t xml:space="preserve"> </w:t>
      </w:r>
      <w:r w:rsidR="00117874">
        <w:t xml:space="preserve">impose aux états membres de fonder les conditions d’autorisation des installations concernées sur les performances des MTD. </w:t>
      </w:r>
    </w:p>
    <w:p w:rsidR="00117874" w:rsidRDefault="00117874" w:rsidP="00752621">
      <w:pPr>
        <w:jc w:val="both"/>
      </w:pPr>
    </w:p>
    <w:p w:rsidR="005B505C" w:rsidRDefault="00117874" w:rsidP="00117874">
      <w:pPr>
        <w:jc w:val="both"/>
      </w:pPr>
      <w:r>
        <w:t xml:space="preserve">Elle </w:t>
      </w:r>
      <w:r w:rsidR="005B505C">
        <w:rPr>
          <w:rStyle w:val="Lienhypertexte"/>
          <w:color w:val="auto"/>
          <w:u w:val="none"/>
        </w:rPr>
        <w:t>a été transposée en droit français par l’ordonnance du 5/01/2012 et le décret du 2/05/2013. La transposition française est restée très proche du texte original, plaçant les MTD</w:t>
      </w:r>
      <w:r w:rsidR="003F0D0E">
        <w:rPr>
          <w:rStyle w:val="Appelnotedebasdep"/>
        </w:rPr>
        <w:footnoteReference w:id="1"/>
      </w:r>
      <w:r w:rsidR="005B505C">
        <w:rPr>
          <w:rStyle w:val="Lienhypertexte"/>
          <w:color w:val="auto"/>
          <w:u w:val="none"/>
        </w:rPr>
        <w:t xml:space="preserve"> au sein de la règlementation ICPE</w:t>
      </w:r>
      <w:r w:rsidR="005B505C">
        <w:rPr>
          <w:rStyle w:val="Appelnotedebasdep"/>
        </w:rPr>
        <w:footnoteReference w:id="2"/>
      </w:r>
      <w:r>
        <w:rPr>
          <w:rStyle w:val="Lienhypertexte"/>
          <w:color w:val="auto"/>
          <w:u w:val="none"/>
        </w:rPr>
        <w:t xml:space="preserve">, en particulier pour les installations </w:t>
      </w:r>
      <w:r>
        <w:t>soumises aux rubriques 3000.</w:t>
      </w:r>
    </w:p>
    <w:p w:rsidR="00117874" w:rsidRPr="00591CD9" w:rsidRDefault="00117874" w:rsidP="00117874">
      <w:pPr>
        <w:rPr>
          <w:rStyle w:val="Lienhypertexte"/>
          <w:color w:val="auto"/>
          <w:u w:val="none"/>
        </w:rPr>
      </w:pPr>
      <w:r>
        <w:rPr>
          <w:rStyle w:val="Lienhypertexte"/>
          <w:color w:val="auto"/>
          <w:u w:val="none"/>
        </w:rPr>
        <w:t>L’INERIS estime que plus de 6500 installations classées sont concernées en France.</w:t>
      </w:r>
    </w:p>
    <w:p w:rsidR="00A364A0" w:rsidRDefault="00117874" w:rsidP="00D53DDA">
      <w:pPr>
        <w:rPr>
          <w:rStyle w:val="Lienhypertexte"/>
          <w:color w:val="auto"/>
          <w:u w:val="none"/>
        </w:rPr>
      </w:pPr>
      <w:r>
        <w:rPr>
          <w:rStyle w:val="Lienhypertexte"/>
          <w:color w:val="auto"/>
          <w:u w:val="none"/>
        </w:rPr>
        <w:t xml:space="preserve">La directive IED </w:t>
      </w:r>
      <w:r w:rsidR="00A364A0">
        <w:rPr>
          <w:rStyle w:val="Lienhypertexte"/>
          <w:color w:val="auto"/>
          <w:u w:val="none"/>
        </w:rPr>
        <w:t>remplace la directive IPPC.</w:t>
      </w:r>
    </w:p>
    <w:p w:rsidR="00AD6AA6" w:rsidRDefault="00A364A0" w:rsidP="00AD6AA6">
      <w:pPr>
        <w:pStyle w:val="Paragraphedeliste"/>
        <w:numPr>
          <w:ilvl w:val="0"/>
          <w:numId w:val="8"/>
        </w:numPr>
        <w:rPr>
          <w:rStyle w:val="Lienhypertexte"/>
          <w:color w:val="auto"/>
          <w:u w:val="none"/>
        </w:rPr>
      </w:pPr>
      <w:r w:rsidRPr="00A364A0">
        <w:rPr>
          <w:rStyle w:val="Lienhypertexte"/>
          <w:color w:val="auto"/>
          <w:u w:val="none"/>
        </w:rPr>
        <w:t xml:space="preserve">pour les </w:t>
      </w:r>
      <w:r w:rsidR="0065082D">
        <w:rPr>
          <w:rStyle w:val="Lienhypertexte"/>
          <w:color w:val="auto"/>
          <w:u w:val="none"/>
        </w:rPr>
        <w:t>anciennes installations IPPC</w:t>
      </w:r>
      <w:r w:rsidR="005B0990">
        <w:rPr>
          <w:rStyle w:val="Appelnotedebasdep"/>
        </w:rPr>
        <w:footnoteReference w:id="3"/>
      </w:r>
      <w:r>
        <w:rPr>
          <w:rStyle w:val="Lienhypertexte"/>
          <w:color w:val="auto"/>
          <w:u w:val="none"/>
        </w:rPr>
        <w:t xml:space="preserve"> : </w:t>
      </w:r>
      <w:r w:rsidR="00247103">
        <w:rPr>
          <w:rStyle w:val="Lienhypertexte"/>
          <w:color w:val="auto"/>
          <w:u w:val="none"/>
        </w:rPr>
        <w:t>entrée en vigueur</w:t>
      </w:r>
      <w:r w:rsidR="00247103" w:rsidRPr="00D53DDA">
        <w:rPr>
          <w:rStyle w:val="Lienhypertexte"/>
          <w:color w:val="auto"/>
          <w:u w:val="none"/>
        </w:rPr>
        <w:t xml:space="preserve"> </w:t>
      </w:r>
      <w:r w:rsidRPr="00D53DDA">
        <w:rPr>
          <w:rStyle w:val="Lienhypertexte"/>
          <w:color w:val="auto"/>
          <w:u w:val="none"/>
        </w:rPr>
        <w:t>au 7</w:t>
      </w:r>
      <w:r>
        <w:rPr>
          <w:rStyle w:val="Lienhypertexte"/>
          <w:color w:val="auto"/>
          <w:u w:val="none"/>
        </w:rPr>
        <w:t>/01/</w:t>
      </w:r>
      <w:r w:rsidRPr="00D53DDA">
        <w:rPr>
          <w:rStyle w:val="Lienhypertexte"/>
          <w:color w:val="auto"/>
          <w:u w:val="none"/>
        </w:rPr>
        <w:t>2014</w:t>
      </w:r>
      <w:r w:rsidR="00247103">
        <w:rPr>
          <w:rStyle w:val="Lienhypertexte"/>
          <w:color w:val="auto"/>
          <w:u w:val="none"/>
        </w:rPr>
        <w:t xml:space="preserve"> si mise en service avant cette date</w:t>
      </w:r>
    </w:p>
    <w:p w:rsidR="00247103" w:rsidRDefault="00247103" w:rsidP="00AD6AA6">
      <w:pPr>
        <w:pStyle w:val="Paragraphedeliste"/>
        <w:numPr>
          <w:ilvl w:val="0"/>
          <w:numId w:val="8"/>
        </w:numPr>
        <w:rPr>
          <w:rStyle w:val="Lienhypertexte"/>
          <w:color w:val="auto"/>
          <w:u w:val="none"/>
        </w:rPr>
      </w:pPr>
      <w:r>
        <w:rPr>
          <w:rStyle w:val="Lienhypertexte"/>
          <w:color w:val="auto"/>
          <w:u w:val="none"/>
        </w:rPr>
        <w:t>pour les nouvelles activités : entrée en vigueur au 7/</w:t>
      </w:r>
      <w:r w:rsidR="004460E8">
        <w:rPr>
          <w:rStyle w:val="Lienhypertexte"/>
          <w:color w:val="auto"/>
          <w:u w:val="none"/>
        </w:rPr>
        <w:t>0</w:t>
      </w:r>
      <w:r>
        <w:rPr>
          <w:rStyle w:val="Lienhypertexte"/>
          <w:color w:val="auto"/>
          <w:u w:val="none"/>
        </w:rPr>
        <w:t>7/2015 si mise en service avant le 7 janvier 2013</w:t>
      </w:r>
    </w:p>
    <w:p w:rsidR="00117874" w:rsidRPr="00117874" w:rsidRDefault="00117874" w:rsidP="00117874">
      <w:pPr>
        <w:rPr>
          <w:rStyle w:val="Lienhypertexte"/>
          <w:color w:val="auto"/>
          <w:u w:val="none"/>
        </w:rPr>
      </w:pPr>
    </w:p>
    <w:p w:rsidR="003644E7" w:rsidRDefault="003644E7" w:rsidP="00F3601D">
      <w:pPr>
        <w:spacing w:before="100" w:beforeAutospacing="1" w:after="240" w:line="240" w:lineRule="auto"/>
        <w:jc w:val="both"/>
        <w:rPr>
          <w:b/>
          <w:color w:val="FF0000"/>
          <w:sz w:val="36"/>
          <w:szCs w:val="36"/>
        </w:rPr>
      </w:pPr>
    </w:p>
    <w:p w:rsidR="00F3601D" w:rsidRDefault="00F3601D" w:rsidP="00F3601D">
      <w:pPr>
        <w:spacing w:before="100" w:beforeAutospacing="1" w:after="240" w:line="240" w:lineRule="auto"/>
        <w:jc w:val="both"/>
        <w:rPr>
          <w:b/>
          <w:color w:val="FF0000"/>
          <w:sz w:val="36"/>
          <w:szCs w:val="36"/>
        </w:rPr>
      </w:pPr>
      <w:r w:rsidRPr="00F3601D">
        <w:rPr>
          <w:b/>
          <w:color w:val="FF0000"/>
          <w:sz w:val="36"/>
          <w:szCs w:val="36"/>
        </w:rPr>
        <w:t>IED</w:t>
      </w:r>
      <w:r w:rsidR="00B97669">
        <w:rPr>
          <w:b/>
          <w:color w:val="FF0000"/>
          <w:sz w:val="36"/>
          <w:szCs w:val="36"/>
        </w:rPr>
        <w:t xml:space="preserve">, </w:t>
      </w:r>
      <w:r w:rsidRPr="00F3601D">
        <w:rPr>
          <w:b/>
          <w:color w:val="FF0000"/>
          <w:sz w:val="36"/>
          <w:szCs w:val="36"/>
        </w:rPr>
        <w:t>MTD</w:t>
      </w:r>
      <w:r w:rsidR="001D2786">
        <w:rPr>
          <w:b/>
          <w:color w:val="FF0000"/>
          <w:sz w:val="36"/>
          <w:szCs w:val="36"/>
        </w:rPr>
        <w:t xml:space="preserve"> (M</w:t>
      </w:r>
      <w:r w:rsidR="001D2786" w:rsidRPr="001D2786">
        <w:rPr>
          <w:b/>
          <w:color w:val="FF0000"/>
          <w:sz w:val="36"/>
          <w:szCs w:val="36"/>
        </w:rPr>
        <w:t xml:space="preserve">eilleures </w:t>
      </w:r>
      <w:r w:rsidR="001D2786">
        <w:rPr>
          <w:b/>
          <w:color w:val="FF0000"/>
          <w:sz w:val="36"/>
          <w:szCs w:val="36"/>
        </w:rPr>
        <w:t>T</w:t>
      </w:r>
      <w:r w:rsidR="001D2786" w:rsidRPr="001D2786">
        <w:rPr>
          <w:b/>
          <w:color w:val="FF0000"/>
          <w:sz w:val="36"/>
          <w:szCs w:val="36"/>
        </w:rPr>
        <w:t xml:space="preserve">echniques </w:t>
      </w:r>
      <w:r w:rsidR="001D2786">
        <w:rPr>
          <w:b/>
          <w:color w:val="FF0000"/>
          <w:sz w:val="36"/>
          <w:szCs w:val="36"/>
        </w:rPr>
        <w:t>D</w:t>
      </w:r>
      <w:r w:rsidR="001D2786" w:rsidRPr="001D2786">
        <w:rPr>
          <w:b/>
          <w:color w:val="FF0000"/>
          <w:sz w:val="36"/>
          <w:szCs w:val="36"/>
        </w:rPr>
        <w:t>isponibles</w:t>
      </w:r>
      <w:r w:rsidR="001D2786">
        <w:rPr>
          <w:b/>
          <w:color w:val="FF0000"/>
          <w:sz w:val="36"/>
          <w:szCs w:val="36"/>
        </w:rPr>
        <w:t>)</w:t>
      </w:r>
      <w:r w:rsidR="00B97669">
        <w:rPr>
          <w:b/>
          <w:color w:val="FF0000"/>
          <w:sz w:val="36"/>
          <w:szCs w:val="36"/>
        </w:rPr>
        <w:t>,  BREF</w:t>
      </w:r>
    </w:p>
    <w:p w:rsidR="008E0232" w:rsidRPr="008E0232" w:rsidRDefault="008E0232" w:rsidP="008E0232">
      <w:pPr>
        <w:keepNext/>
        <w:framePr w:dropCap="drop" w:lines="3" w:wrap="around" w:vAnchor="text" w:hAnchor="text"/>
        <w:spacing w:after="0" w:line="869" w:lineRule="exact"/>
        <w:jc w:val="both"/>
        <w:textAlignment w:val="baseline"/>
        <w:rPr>
          <w:rStyle w:val="Lienhypertexte"/>
          <w:color w:val="auto"/>
          <w:position w:val="-9"/>
          <w:sz w:val="117"/>
          <w:u w:val="none"/>
        </w:rPr>
      </w:pPr>
      <w:r w:rsidRPr="008E0232">
        <w:rPr>
          <w:rStyle w:val="Lienhypertexte"/>
          <w:color w:val="auto"/>
          <w:position w:val="-9"/>
          <w:sz w:val="117"/>
          <w:u w:val="none"/>
        </w:rPr>
        <w:t>L</w:t>
      </w:r>
    </w:p>
    <w:p w:rsidR="000A535E" w:rsidRDefault="00247103" w:rsidP="00AE68BD">
      <w:pPr>
        <w:jc w:val="both"/>
        <w:rPr>
          <w:rStyle w:val="Lienhypertexte"/>
          <w:color w:val="auto"/>
          <w:u w:val="none"/>
        </w:rPr>
      </w:pPr>
      <w:r>
        <w:rPr>
          <w:rStyle w:val="Lienhypertexte"/>
          <w:color w:val="auto"/>
          <w:u w:val="none"/>
        </w:rPr>
        <w:t xml:space="preserve">a Commission </w:t>
      </w:r>
      <w:r w:rsidR="00A04561">
        <w:rPr>
          <w:rStyle w:val="Lienhypertexte"/>
          <w:color w:val="auto"/>
          <w:u w:val="none"/>
        </w:rPr>
        <w:t xml:space="preserve">Européenne </w:t>
      </w:r>
      <w:r>
        <w:rPr>
          <w:rStyle w:val="Lienhypertexte"/>
          <w:color w:val="auto"/>
          <w:u w:val="none"/>
        </w:rPr>
        <w:t>convoque périodiquement l</w:t>
      </w:r>
      <w:r w:rsidR="00196612">
        <w:rPr>
          <w:rStyle w:val="Lienhypertexte"/>
          <w:color w:val="auto"/>
          <w:u w:val="none"/>
        </w:rPr>
        <w:t xml:space="preserve">es Etats membres, les </w:t>
      </w:r>
      <w:r>
        <w:rPr>
          <w:rStyle w:val="Lienhypertexte"/>
          <w:color w:val="auto"/>
          <w:u w:val="none"/>
        </w:rPr>
        <w:t>organisations internationales représentant l’industrie</w:t>
      </w:r>
      <w:r w:rsidR="00A04561">
        <w:rPr>
          <w:rStyle w:val="Lienhypertexte"/>
          <w:color w:val="auto"/>
          <w:u w:val="none"/>
        </w:rPr>
        <w:t>,</w:t>
      </w:r>
      <w:r w:rsidR="00E65903">
        <w:rPr>
          <w:rStyle w:val="Lienhypertexte"/>
          <w:color w:val="auto"/>
          <w:u w:val="none"/>
        </w:rPr>
        <w:t xml:space="preserve"> et </w:t>
      </w:r>
      <w:r w:rsidR="00196612">
        <w:rPr>
          <w:rStyle w:val="Lienhypertexte"/>
          <w:color w:val="auto"/>
          <w:u w:val="none"/>
        </w:rPr>
        <w:t xml:space="preserve">les ONG </w:t>
      </w:r>
      <w:r>
        <w:rPr>
          <w:rStyle w:val="Lienhypertexte"/>
          <w:color w:val="auto"/>
          <w:u w:val="none"/>
        </w:rPr>
        <w:t xml:space="preserve">œuvrant pour la </w:t>
      </w:r>
      <w:r w:rsidR="00196612">
        <w:rPr>
          <w:rStyle w:val="Lienhypertexte"/>
          <w:color w:val="auto"/>
          <w:u w:val="none"/>
        </w:rPr>
        <w:t>protection de l’environnement</w:t>
      </w:r>
      <w:r w:rsidR="00A04561">
        <w:rPr>
          <w:rStyle w:val="Lienhypertexte"/>
          <w:color w:val="auto"/>
          <w:u w:val="none"/>
        </w:rPr>
        <w:t>,</w:t>
      </w:r>
      <w:r w:rsidR="00196612">
        <w:rPr>
          <w:rStyle w:val="Lienhypertexte"/>
          <w:color w:val="auto"/>
          <w:u w:val="none"/>
        </w:rPr>
        <w:t xml:space="preserve"> </w:t>
      </w:r>
      <w:r>
        <w:rPr>
          <w:rStyle w:val="Lienhypertexte"/>
          <w:color w:val="auto"/>
          <w:u w:val="none"/>
        </w:rPr>
        <w:t>afin d’échanger</w:t>
      </w:r>
      <w:r w:rsidR="00196612">
        <w:rPr>
          <w:rStyle w:val="Lienhypertexte"/>
          <w:color w:val="auto"/>
          <w:u w:val="none"/>
        </w:rPr>
        <w:t xml:space="preserve"> des informations </w:t>
      </w:r>
      <w:r w:rsidR="00E65903">
        <w:rPr>
          <w:rStyle w:val="Lienhypertexte"/>
          <w:color w:val="auto"/>
          <w:u w:val="none"/>
        </w:rPr>
        <w:t xml:space="preserve">et </w:t>
      </w:r>
      <w:r w:rsidR="00A04561">
        <w:rPr>
          <w:rStyle w:val="Lienhypertexte"/>
          <w:color w:val="auto"/>
          <w:u w:val="none"/>
        </w:rPr>
        <w:t>d’</w:t>
      </w:r>
      <w:r w:rsidR="00E65903">
        <w:rPr>
          <w:rStyle w:val="Lienhypertexte"/>
          <w:color w:val="auto"/>
          <w:u w:val="none"/>
        </w:rPr>
        <w:t>élaborer des documents de référence</w:t>
      </w:r>
      <w:r w:rsidR="00196612">
        <w:rPr>
          <w:rStyle w:val="Lienhypertexte"/>
          <w:color w:val="auto"/>
          <w:u w:val="none"/>
        </w:rPr>
        <w:t xml:space="preserve">. </w:t>
      </w:r>
    </w:p>
    <w:p w:rsidR="00116D90" w:rsidRDefault="000A535E" w:rsidP="00AE68BD">
      <w:pPr>
        <w:jc w:val="both"/>
        <w:rPr>
          <w:rStyle w:val="Lienhypertexte"/>
          <w:color w:val="auto"/>
          <w:u w:val="none"/>
        </w:rPr>
      </w:pPr>
      <w:r>
        <w:rPr>
          <w:rStyle w:val="Lienhypertexte"/>
          <w:color w:val="auto"/>
          <w:u w:val="none"/>
        </w:rPr>
        <w:t>Des Groupes de Travail Techniques (GTT)</w:t>
      </w:r>
      <w:r>
        <w:rPr>
          <w:rStyle w:val="Appelnotedebasdep"/>
        </w:rPr>
        <w:footnoteReference w:id="4"/>
      </w:r>
      <w:r>
        <w:rPr>
          <w:rStyle w:val="Lienhypertexte"/>
          <w:color w:val="auto"/>
          <w:u w:val="none"/>
        </w:rPr>
        <w:t>, pour chacun des 35 secteurs industriels visés à l’annexe I de la Directive IED, élaborent les BREF</w:t>
      </w:r>
      <w:r>
        <w:rPr>
          <w:rStyle w:val="Appelnotedebasdep"/>
        </w:rPr>
        <w:footnoteReference w:id="5"/>
      </w:r>
      <w:r>
        <w:rPr>
          <w:rStyle w:val="Lienhypertexte"/>
          <w:color w:val="auto"/>
          <w:u w:val="none"/>
        </w:rPr>
        <w:t xml:space="preserve"> et les Conclusions des MTD correspondants. </w:t>
      </w:r>
    </w:p>
    <w:p w:rsidR="00117874" w:rsidRDefault="00117874" w:rsidP="00117874">
      <w:pPr>
        <w:jc w:val="both"/>
        <w:rPr>
          <w:rStyle w:val="Lienhypertexte"/>
          <w:color w:val="auto"/>
          <w:u w:val="none"/>
        </w:rPr>
      </w:pPr>
      <w:r>
        <w:rPr>
          <w:rStyle w:val="Lienhypertexte"/>
          <w:color w:val="auto"/>
          <w:u w:val="none"/>
        </w:rPr>
        <w:t xml:space="preserve">La rédaction d’un BREF dure 3 ans en moyenne. </w:t>
      </w:r>
    </w:p>
    <w:p w:rsidR="00116D90" w:rsidRDefault="00116D90" w:rsidP="00AE68BD">
      <w:pPr>
        <w:jc w:val="both"/>
        <w:rPr>
          <w:rStyle w:val="Lienhypertexte"/>
          <w:color w:val="auto"/>
          <w:u w:val="none"/>
        </w:rPr>
      </w:pPr>
      <w:r>
        <w:rPr>
          <w:noProof/>
          <w:lang w:eastAsia="fr-FR"/>
        </w:rPr>
        <mc:AlternateContent>
          <mc:Choice Requires="wps">
            <w:drawing>
              <wp:anchor distT="0" distB="0" distL="114300" distR="114300" simplePos="0" relativeHeight="251666432" behindDoc="0" locked="0" layoutInCell="1" allowOverlap="1" wp14:anchorId="2AB73663" wp14:editId="51AE3095">
                <wp:simplePos x="0" y="0"/>
                <wp:positionH relativeFrom="column">
                  <wp:posOffset>0</wp:posOffset>
                </wp:positionH>
                <wp:positionV relativeFrom="paragraph">
                  <wp:posOffset>161290</wp:posOffset>
                </wp:positionV>
                <wp:extent cx="733425" cy="342900"/>
                <wp:effectExtent l="0" t="19050" r="47625" b="38100"/>
                <wp:wrapNone/>
                <wp:docPr id="10" name="Flèche droite 10"/>
                <wp:cNvGraphicFramePr/>
                <a:graphic xmlns:a="http://schemas.openxmlformats.org/drawingml/2006/main">
                  <a:graphicData uri="http://schemas.microsoft.com/office/word/2010/wordprocessingShape">
                    <wps:wsp>
                      <wps:cNvSpPr/>
                      <wps:spPr>
                        <a:xfrm>
                          <a:off x="0" y="0"/>
                          <a:ext cx="733425" cy="3429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4A0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0;margin-top:12.7pt;width:57.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" adj="16551" fillcolor="#0070c0" strokecolor="#c45911 [2405]" strokeweight="1.5pt"/>
            </w:pict>
          </mc:Fallback>
        </mc:AlternateContent>
      </w:r>
    </w:p>
    <w:p w:rsidR="00196612" w:rsidRDefault="000A535E" w:rsidP="00116D90">
      <w:pPr>
        <w:ind w:left="708" w:firstLine="708"/>
        <w:jc w:val="both"/>
        <w:rPr>
          <w:rStyle w:val="Lienhypertexte"/>
          <w:color w:val="auto"/>
          <w:u w:val="none"/>
        </w:rPr>
      </w:pPr>
      <w:r w:rsidRPr="00116D90">
        <w:rPr>
          <w:rStyle w:val="Lienhypertexte"/>
          <w:b/>
          <w:color w:val="auto"/>
          <w:u w:val="none"/>
        </w:rPr>
        <w:t xml:space="preserve">Chaque </w:t>
      </w:r>
      <w:r w:rsidR="00196612" w:rsidRPr="00116D90">
        <w:rPr>
          <w:rStyle w:val="Lienhypertexte"/>
          <w:b/>
          <w:color w:val="auto"/>
          <w:u w:val="none"/>
        </w:rPr>
        <w:t>BREF</w:t>
      </w:r>
      <w:r w:rsidR="006D5375" w:rsidRPr="00116D90">
        <w:rPr>
          <w:rStyle w:val="Lienhypertexte"/>
          <w:b/>
          <w:color w:val="auto"/>
          <w:u w:val="none"/>
        </w:rPr>
        <w:t xml:space="preserve"> co</w:t>
      </w:r>
      <w:r w:rsidR="001071C1" w:rsidRPr="00116D90">
        <w:rPr>
          <w:rStyle w:val="Lienhypertexte"/>
          <w:b/>
          <w:color w:val="auto"/>
          <w:u w:val="none"/>
        </w:rPr>
        <w:t>mporte</w:t>
      </w:r>
      <w:r w:rsidR="006D5375" w:rsidRPr="00116D90">
        <w:rPr>
          <w:rStyle w:val="Lienhypertexte"/>
          <w:b/>
          <w:color w:val="auto"/>
          <w:u w:val="none"/>
        </w:rPr>
        <w:t xml:space="preserve"> pour </w:t>
      </w:r>
      <w:r w:rsidR="00752621">
        <w:rPr>
          <w:rStyle w:val="Lienhypertexte"/>
          <w:b/>
          <w:color w:val="auto"/>
          <w:u w:val="none"/>
        </w:rPr>
        <w:t>un</w:t>
      </w:r>
      <w:r w:rsidR="006D5375" w:rsidRPr="00116D90">
        <w:rPr>
          <w:rStyle w:val="Lienhypertexte"/>
          <w:b/>
          <w:color w:val="auto"/>
          <w:u w:val="none"/>
        </w:rPr>
        <w:t xml:space="preserve"> secteur</w:t>
      </w:r>
      <w:r w:rsidR="00752621">
        <w:rPr>
          <w:rStyle w:val="Lienhypertexte"/>
          <w:b/>
          <w:color w:val="auto"/>
          <w:u w:val="none"/>
        </w:rPr>
        <w:t xml:space="preserve"> d’activité donné</w:t>
      </w:r>
      <w:r w:rsidR="006D5375">
        <w:rPr>
          <w:rStyle w:val="Lienhypertexte"/>
          <w:color w:val="auto"/>
          <w:u w:val="none"/>
        </w:rPr>
        <w:t> :</w:t>
      </w:r>
    </w:p>
    <w:p w:rsidR="006D5375" w:rsidRPr="006D5375" w:rsidRDefault="006D5375" w:rsidP="006D5375">
      <w:pPr>
        <w:pStyle w:val="Paragraphedeliste"/>
        <w:numPr>
          <w:ilvl w:val="1"/>
          <w:numId w:val="6"/>
        </w:numPr>
        <w:rPr>
          <w:rStyle w:val="Lienhypertexte"/>
          <w:color w:val="auto"/>
          <w:u w:val="none"/>
        </w:rPr>
      </w:pPr>
      <w:r w:rsidRPr="006D5375">
        <w:rPr>
          <w:rStyle w:val="Lienhypertexte"/>
          <w:color w:val="auto"/>
          <w:u w:val="none"/>
        </w:rPr>
        <w:t xml:space="preserve">un état des lieux technico-économique </w:t>
      </w:r>
      <w:r w:rsidR="00752621">
        <w:rPr>
          <w:rStyle w:val="Lienhypertexte"/>
          <w:color w:val="auto"/>
          <w:u w:val="none"/>
        </w:rPr>
        <w:t>du secteur</w:t>
      </w:r>
    </w:p>
    <w:p w:rsidR="006D5375" w:rsidRPr="006D5375" w:rsidRDefault="006D5375" w:rsidP="006D5375">
      <w:pPr>
        <w:pStyle w:val="Paragraphedeliste"/>
        <w:numPr>
          <w:ilvl w:val="1"/>
          <w:numId w:val="6"/>
        </w:numPr>
        <w:rPr>
          <w:rStyle w:val="Lienhypertexte"/>
          <w:color w:val="auto"/>
          <w:u w:val="none"/>
        </w:rPr>
      </w:pPr>
      <w:r w:rsidRPr="006D5375">
        <w:rPr>
          <w:rStyle w:val="Lienhypertexte"/>
          <w:color w:val="auto"/>
          <w:u w:val="none"/>
        </w:rPr>
        <w:t xml:space="preserve">un inventaire des techniques </w:t>
      </w:r>
      <w:r w:rsidR="00E9123E">
        <w:rPr>
          <w:rStyle w:val="Lienhypertexte"/>
          <w:color w:val="auto"/>
          <w:u w:val="none"/>
        </w:rPr>
        <w:t>mises en œuvre au moment de la rédaction du BREF</w:t>
      </w:r>
    </w:p>
    <w:p w:rsidR="006D5375" w:rsidRPr="006D5375" w:rsidRDefault="006D5375" w:rsidP="006D5375">
      <w:pPr>
        <w:pStyle w:val="Paragraphedeliste"/>
        <w:numPr>
          <w:ilvl w:val="1"/>
          <w:numId w:val="6"/>
        </w:numPr>
        <w:rPr>
          <w:rStyle w:val="Lienhypertexte"/>
          <w:color w:val="auto"/>
          <w:u w:val="none"/>
        </w:rPr>
      </w:pPr>
      <w:r w:rsidRPr="006D5375">
        <w:rPr>
          <w:rStyle w:val="Lienhypertexte"/>
          <w:color w:val="auto"/>
          <w:u w:val="none"/>
        </w:rPr>
        <w:t>un inventaire des consommations et émissions</w:t>
      </w:r>
      <w:r>
        <w:rPr>
          <w:rStyle w:val="Lienhypertexte"/>
          <w:color w:val="auto"/>
          <w:u w:val="none"/>
        </w:rPr>
        <w:t xml:space="preserve"> associées </w:t>
      </w:r>
    </w:p>
    <w:p w:rsidR="006D5375" w:rsidRPr="006D5375" w:rsidRDefault="006D5375" w:rsidP="006D5375">
      <w:pPr>
        <w:pStyle w:val="Paragraphedeliste"/>
        <w:numPr>
          <w:ilvl w:val="1"/>
          <w:numId w:val="6"/>
        </w:numPr>
        <w:rPr>
          <w:rStyle w:val="Lienhypertexte"/>
          <w:color w:val="auto"/>
          <w:u w:val="none"/>
        </w:rPr>
      </w:pPr>
      <w:r w:rsidRPr="006D5375">
        <w:rPr>
          <w:rStyle w:val="Lienhypertexte"/>
          <w:color w:val="auto"/>
          <w:u w:val="none"/>
        </w:rPr>
        <w:t xml:space="preserve">une présentation des techniques prétendantes </w:t>
      </w:r>
      <w:r>
        <w:rPr>
          <w:rStyle w:val="Lienhypertexte"/>
          <w:color w:val="auto"/>
          <w:u w:val="none"/>
        </w:rPr>
        <w:t xml:space="preserve">aux </w:t>
      </w:r>
      <w:r w:rsidR="00AE68BD">
        <w:rPr>
          <w:rStyle w:val="Lienhypertexte"/>
          <w:color w:val="auto"/>
          <w:u w:val="none"/>
        </w:rPr>
        <w:t>Meilleures Techniques Disponibles (</w:t>
      </w:r>
      <w:r>
        <w:rPr>
          <w:rStyle w:val="Lienhypertexte"/>
          <w:color w:val="auto"/>
          <w:u w:val="none"/>
        </w:rPr>
        <w:t>MTD</w:t>
      </w:r>
      <w:r w:rsidR="00AE68BD">
        <w:rPr>
          <w:rStyle w:val="Lienhypertexte"/>
          <w:color w:val="auto"/>
          <w:u w:val="none"/>
        </w:rPr>
        <w:t>)</w:t>
      </w:r>
    </w:p>
    <w:p w:rsidR="006D5375" w:rsidRDefault="006D5375" w:rsidP="006D5375">
      <w:pPr>
        <w:pStyle w:val="Paragraphedeliste"/>
        <w:numPr>
          <w:ilvl w:val="1"/>
          <w:numId w:val="6"/>
        </w:numPr>
        <w:rPr>
          <w:rStyle w:val="Lienhypertexte"/>
          <w:color w:val="auto"/>
          <w:u w:val="none"/>
        </w:rPr>
      </w:pPr>
      <w:r w:rsidRPr="006D5375">
        <w:rPr>
          <w:rStyle w:val="Lienhypertexte"/>
          <w:color w:val="auto"/>
          <w:u w:val="none"/>
        </w:rPr>
        <w:t>un choix de celles retenues comme MTD, qui doit comprendre </w:t>
      </w:r>
      <w:r>
        <w:rPr>
          <w:rStyle w:val="Lienhypertexte"/>
          <w:color w:val="auto"/>
          <w:u w:val="none"/>
        </w:rPr>
        <w:t>:</w:t>
      </w:r>
      <w:r>
        <w:rPr>
          <w:rStyle w:val="Lienhypertexte"/>
          <w:color w:val="auto"/>
          <w:u w:val="none"/>
        </w:rPr>
        <w:br/>
        <w:t>- les MTD et leur description</w:t>
      </w:r>
      <w:r w:rsidRPr="006D5375">
        <w:rPr>
          <w:rStyle w:val="Lienhypertexte"/>
          <w:color w:val="auto"/>
          <w:u w:val="none"/>
        </w:rPr>
        <w:br/>
        <w:t xml:space="preserve">- les informations nécessaires </w:t>
      </w:r>
      <w:r>
        <w:rPr>
          <w:rStyle w:val="Lienhypertexte"/>
          <w:color w:val="auto"/>
          <w:u w:val="none"/>
        </w:rPr>
        <w:t>pour évaluer leur applicabilité</w:t>
      </w:r>
      <w:r w:rsidRPr="006D5375">
        <w:rPr>
          <w:rStyle w:val="Lienhypertexte"/>
          <w:color w:val="auto"/>
          <w:u w:val="none"/>
        </w:rPr>
        <w:br/>
        <w:t>- les niveaux d’émission associés aux MTD (appelés NEA</w:t>
      </w:r>
      <w:r w:rsidR="00E9123E">
        <w:rPr>
          <w:rStyle w:val="Lienhypertexte"/>
          <w:color w:val="auto"/>
          <w:u w:val="none"/>
        </w:rPr>
        <w:t>-</w:t>
      </w:r>
      <w:r w:rsidRPr="006D5375">
        <w:rPr>
          <w:rStyle w:val="Lienhypertexte"/>
          <w:color w:val="auto"/>
          <w:u w:val="none"/>
        </w:rPr>
        <w:t>MTD ou BATAEL)</w:t>
      </w:r>
      <w:r w:rsidRPr="006D5375">
        <w:rPr>
          <w:rStyle w:val="Lienhypertexte"/>
          <w:color w:val="auto"/>
          <w:u w:val="none"/>
        </w:rPr>
        <w:br/>
        <w:t>- les me</w:t>
      </w:r>
      <w:r>
        <w:rPr>
          <w:rStyle w:val="Lienhypertexte"/>
          <w:color w:val="auto"/>
          <w:u w:val="none"/>
        </w:rPr>
        <w:t>sures de surveillance associées</w:t>
      </w:r>
      <w:r w:rsidRPr="006D5375">
        <w:rPr>
          <w:rStyle w:val="Lienhypertexte"/>
          <w:color w:val="auto"/>
          <w:u w:val="none"/>
        </w:rPr>
        <w:br/>
        <w:t>- les niveaux de consommation associés</w:t>
      </w:r>
      <w:r w:rsidRPr="006D5375">
        <w:rPr>
          <w:rStyle w:val="Lienhypertexte"/>
          <w:color w:val="auto"/>
          <w:u w:val="none"/>
        </w:rPr>
        <w:br/>
        <w:t>- et, s’il y a lieu, les mesures pertinente</w:t>
      </w:r>
      <w:r w:rsidR="00B07816">
        <w:rPr>
          <w:rStyle w:val="Lienhypertexte"/>
          <w:color w:val="auto"/>
          <w:u w:val="none"/>
        </w:rPr>
        <w:t>s de remise en état du site</w:t>
      </w:r>
    </w:p>
    <w:p w:rsidR="00B07816" w:rsidRDefault="00B07816" w:rsidP="009C49FD">
      <w:pPr>
        <w:pStyle w:val="Paragraphedeliste"/>
        <w:numPr>
          <w:ilvl w:val="1"/>
          <w:numId w:val="6"/>
        </w:numPr>
        <w:rPr>
          <w:rStyle w:val="Lienhypertexte"/>
          <w:color w:val="auto"/>
          <w:u w:val="none"/>
        </w:rPr>
      </w:pPr>
      <w:r w:rsidRPr="00B07816">
        <w:rPr>
          <w:rStyle w:val="Lienhypertexte"/>
          <w:color w:val="auto"/>
          <w:u w:val="none"/>
        </w:rPr>
        <w:t>une présentation des techniques émergentes</w:t>
      </w:r>
    </w:p>
    <w:p w:rsidR="00117874" w:rsidRDefault="00117874" w:rsidP="00117874">
      <w:pPr>
        <w:pStyle w:val="Paragraphedeliste"/>
        <w:ind w:left="1440"/>
        <w:rPr>
          <w:rStyle w:val="Lienhypertexte"/>
          <w:color w:val="auto"/>
          <w:u w:val="none"/>
        </w:rPr>
      </w:pPr>
    </w:p>
    <w:p w:rsidR="00196612" w:rsidRDefault="00F37290" w:rsidP="007F4402">
      <w:pPr>
        <w:jc w:val="both"/>
        <w:rPr>
          <w:rStyle w:val="Lienhypertexte"/>
          <w:color w:val="auto"/>
          <w:u w:val="none"/>
        </w:rPr>
      </w:pPr>
      <w:r>
        <w:rPr>
          <w:rStyle w:val="Lienhypertexte"/>
          <w:color w:val="auto"/>
          <w:u w:val="none"/>
        </w:rPr>
        <w:t>Le projet final du BREF est présenté à un forum d’experts, uniquement composés d’organisations européennes</w:t>
      </w:r>
      <w:r>
        <w:rPr>
          <w:rStyle w:val="Appelnotedebasdep"/>
        </w:rPr>
        <w:footnoteReference w:id="6"/>
      </w:r>
      <w:r>
        <w:rPr>
          <w:rStyle w:val="Lienhypertexte"/>
          <w:color w:val="auto"/>
          <w:u w:val="none"/>
        </w:rPr>
        <w:t>. Ce forum émet un avis</w:t>
      </w:r>
      <w:r w:rsidR="007F4402">
        <w:rPr>
          <w:rStyle w:val="Lienhypertexte"/>
          <w:color w:val="auto"/>
          <w:u w:val="none"/>
        </w:rPr>
        <w:t>. Puis les textes sont votés à la majorité qualifiée</w:t>
      </w:r>
      <w:r w:rsidR="007F4402">
        <w:rPr>
          <w:rStyle w:val="Appelnotedebasdep"/>
        </w:rPr>
        <w:footnoteReference w:id="7"/>
      </w:r>
      <w:r w:rsidR="007F4402">
        <w:rPr>
          <w:rStyle w:val="Lienhypertexte"/>
          <w:color w:val="auto"/>
          <w:u w:val="none"/>
        </w:rPr>
        <w:t xml:space="preserve"> par les Etats Membres.  </w:t>
      </w:r>
      <w:r w:rsidR="007F4402" w:rsidRPr="00117874">
        <w:rPr>
          <w:rStyle w:val="Lienhypertexte"/>
          <w:b/>
          <w:color w:val="FF0000"/>
          <w:u w:val="none"/>
        </w:rPr>
        <w:t xml:space="preserve">Au sein des BREF, les </w:t>
      </w:r>
      <w:r w:rsidR="00CA4F30" w:rsidRPr="00117874">
        <w:rPr>
          <w:rStyle w:val="Lienhypertexte"/>
          <w:b/>
          <w:color w:val="FF0000"/>
          <w:u w:val="none"/>
        </w:rPr>
        <w:t>C</w:t>
      </w:r>
      <w:r w:rsidR="00196612" w:rsidRPr="00117874">
        <w:rPr>
          <w:rStyle w:val="Lienhypertexte"/>
          <w:b/>
          <w:color w:val="FF0000"/>
          <w:u w:val="none"/>
        </w:rPr>
        <w:t>onclusions MTD</w:t>
      </w:r>
      <w:r w:rsidR="007F4402" w:rsidRPr="00117874">
        <w:rPr>
          <w:rStyle w:val="Lienhypertexte"/>
          <w:b/>
          <w:color w:val="FF0000"/>
          <w:u w:val="none"/>
        </w:rPr>
        <w:t xml:space="preserve"> sont validées par </w:t>
      </w:r>
      <w:r w:rsidR="00117874" w:rsidRPr="00117874">
        <w:rPr>
          <w:rStyle w:val="Lienhypertexte"/>
          <w:b/>
          <w:color w:val="FF0000"/>
          <w:u w:val="none"/>
        </w:rPr>
        <w:t xml:space="preserve">la Commission, puis publiées au </w:t>
      </w:r>
      <w:r w:rsidR="007F4402" w:rsidRPr="00117874">
        <w:rPr>
          <w:rStyle w:val="Lienhypertexte"/>
          <w:b/>
          <w:color w:val="FF0000"/>
          <w:u w:val="none"/>
        </w:rPr>
        <w:t>JOUE</w:t>
      </w:r>
      <w:r w:rsidR="00B31444" w:rsidRPr="00117874">
        <w:rPr>
          <w:rStyle w:val="Appelnotedebasdep"/>
          <w:b/>
          <w:color w:val="FF0000"/>
        </w:rPr>
        <w:footnoteReference w:id="8"/>
      </w:r>
      <w:r w:rsidR="00864722" w:rsidRPr="00117874">
        <w:rPr>
          <w:rStyle w:val="Lienhypertexte"/>
          <w:b/>
          <w:color w:val="FF0000"/>
          <w:u w:val="none"/>
        </w:rPr>
        <w:t xml:space="preserve">. </w:t>
      </w:r>
      <w:r w:rsidR="00D53DDA" w:rsidRPr="00117874">
        <w:rPr>
          <w:rStyle w:val="Lienhypertexte"/>
          <w:b/>
          <w:color w:val="FF0000"/>
          <w:u w:val="none"/>
        </w:rPr>
        <w:t xml:space="preserve"> </w:t>
      </w:r>
      <w:r w:rsidR="00DF442A" w:rsidRPr="00117874">
        <w:rPr>
          <w:rStyle w:val="Lienhypertexte"/>
          <w:b/>
          <w:color w:val="FF0000"/>
          <w:u w:val="none"/>
        </w:rPr>
        <w:t>Ces Conclusions reflète</w:t>
      </w:r>
      <w:r w:rsidR="007F4402" w:rsidRPr="00117874">
        <w:rPr>
          <w:rStyle w:val="Lienhypertexte"/>
          <w:b/>
          <w:color w:val="FF0000"/>
          <w:u w:val="none"/>
        </w:rPr>
        <w:t>nt</w:t>
      </w:r>
      <w:r w:rsidR="00DF442A" w:rsidRPr="00117874">
        <w:rPr>
          <w:rStyle w:val="Lienhypertexte"/>
          <w:b/>
          <w:color w:val="FF0000"/>
          <w:u w:val="none"/>
        </w:rPr>
        <w:t xml:space="preserve"> le consensus technique auquel les pa</w:t>
      </w:r>
      <w:r w:rsidR="008942B0">
        <w:rPr>
          <w:rStyle w:val="Lienhypertexte"/>
          <w:b/>
          <w:color w:val="FF0000"/>
          <w:u w:val="none"/>
        </w:rPr>
        <w:t>rties</w:t>
      </w:r>
      <w:r w:rsidR="00DF442A" w:rsidRPr="00117874">
        <w:rPr>
          <w:rStyle w:val="Lienhypertexte"/>
          <w:b/>
          <w:color w:val="FF0000"/>
          <w:u w:val="none"/>
        </w:rPr>
        <w:t xml:space="preserve"> prenantes, au sein d</w:t>
      </w:r>
      <w:r w:rsidR="009E096E" w:rsidRPr="00117874">
        <w:rPr>
          <w:rStyle w:val="Lienhypertexte"/>
          <w:b/>
          <w:color w:val="FF0000"/>
          <w:u w:val="none"/>
        </w:rPr>
        <w:t>es</w:t>
      </w:r>
      <w:r w:rsidR="00DF442A" w:rsidRPr="00117874">
        <w:rPr>
          <w:rStyle w:val="Lienhypertexte"/>
          <w:b/>
          <w:color w:val="FF0000"/>
          <w:u w:val="none"/>
        </w:rPr>
        <w:t xml:space="preserve"> GTT, sont arrivées.</w:t>
      </w:r>
    </w:p>
    <w:p w:rsidR="00117874" w:rsidRDefault="00117874" w:rsidP="007F4402">
      <w:pPr>
        <w:jc w:val="both"/>
        <w:rPr>
          <w:rStyle w:val="Lienhypertexte"/>
          <w:color w:val="auto"/>
          <w:u w:val="none"/>
        </w:rPr>
      </w:pPr>
    </w:p>
    <w:p w:rsidR="00117874" w:rsidRDefault="00117874" w:rsidP="007F4402">
      <w:pPr>
        <w:jc w:val="both"/>
        <w:rPr>
          <w:rStyle w:val="Lienhypertexte"/>
          <w:color w:val="auto"/>
          <w:u w:val="none"/>
        </w:rPr>
      </w:pPr>
    </w:p>
    <w:p w:rsidR="00117874" w:rsidRDefault="00117874" w:rsidP="007F4402">
      <w:pPr>
        <w:jc w:val="both"/>
        <w:rPr>
          <w:rStyle w:val="Lienhypertexte"/>
          <w:color w:val="auto"/>
          <w:u w:val="none"/>
        </w:rPr>
      </w:pPr>
    </w:p>
    <w:bookmarkStart w:id="0" w:name="bref"/>
    <w:bookmarkEnd w:id="0"/>
    <w:p w:rsidR="00CA4F30" w:rsidRDefault="00CA4F30" w:rsidP="00CA4F30">
      <w:pPr>
        <w:rPr>
          <w:rStyle w:val="Lienhypertexte"/>
          <w:b/>
          <w:color w:val="auto"/>
          <w:u w:val="none"/>
        </w:rPr>
      </w:pPr>
      <w:r>
        <w:rPr>
          <w:noProof/>
          <w:lang w:eastAsia="fr-FR"/>
        </w:rPr>
        <w:lastRenderedPageBreak/>
        <mc:AlternateContent>
          <mc:Choice Requires="wps">
            <w:drawing>
              <wp:anchor distT="0" distB="0" distL="114300" distR="114300" simplePos="0" relativeHeight="251664384" behindDoc="0" locked="0" layoutInCell="1" allowOverlap="1" wp14:anchorId="3908AD98" wp14:editId="1CF86B26">
                <wp:simplePos x="0" y="0"/>
                <wp:positionH relativeFrom="column">
                  <wp:posOffset>-4445</wp:posOffset>
                </wp:positionH>
                <wp:positionV relativeFrom="paragraph">
                  <wp:posOffset>156211</wp:posOffset>
                </wp:positionV>
                <wp:extent cx="733425" cy="342900"/>
                <wp:effectExtent l="0" t="19050" r="47625" b="38100"/>
                <wp:wrapNone/>
                <wp:docPr id="2" name="Flèche droite 2"/>
                <wp:cNvGraphicFramePr/>
                <a:graphic xmlns:a="http://schemas.openxmlformats.org/drawingml/2006/main">
                  <a:graphicData uri="http://schemas.microsoft.com/office/word/2010/wordprocessingShape">
                    <wps:wsp>
                      <wps:cNvSpPr/>
                      <wps:spPr>
                        <a:xfrm>
                          <a:off x="0" y="0"/>
                          <a:ext cx="733425" cy="3429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FE091" id="Flèche droite 2" o:spid="_x0000_s1026" type="#_x0000_t13" style="position:absolute;margin-left:-.35pt;margin-top:12.3pt;width:57.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" adj="16551" fillcolor="#0070c0" strokecolor="#c45911 [2405]" strokeweight="1.5pt"/>
            </w:pict>
          </mc:Fallback>
        </mc:AlternateContent>
      </w:r>
    </w:p>
    <w:p w:rsidR="00B97669" w:rsidRPr="00CA4F30" w:rsidRDefault="00130217" w:rsidP="00CA4F30">
      <w:pPr>
        <w:ind w:left="12" w:firstLine="708"/>
        <w:rPr>
          <w:rStyle w:val="Lienhypertexte"/>
          <w:color w:val="auto"/>
          <w:u w:val="none"/>
        </w:rPr>
      </w:pPr>
      <w:r w:rsidRPr="00CA4F30">
        <w:rPr>
          <w:noProof/>
          <w:lang w:eastAsia="fr-FR"/>
        </w:rPr>
        <mc:AlternateContent>
          <mc:Choice Requires="wps">
            <w:drawing>
              <wp:anchor distT="0" distB="0" distL="114300" distR="114300" simplePos="0" relativeHeight="251662336" behindDoc="0" locked="0" layoutInCell="1" allowOverlap="1" wp14:anchorId="1F502837" wp14:editId="61237B41">
                <wp:simplePos x="0" y="0"/>
                <wp:positionH relativeFrom="column">
                  <wp:posOffset>4529455</wp:posOffset>
                </wp:positionH>
                <wp:positionV relativeFrom="paragraph">
                  <wp:posOffset>163195</wp:posOffset>
                </wp:positionV>
                <wp:extent cx="1333500" cy="109347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1333500" cy="10934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0217" w:rsidRDefault="00130217">
                            <w:r>
                              <w:rPr>
                                <w:rFonts w:ascii="Arial" w:hAnsi="Arial" w:cs="Arial"/>
                                <w:noProof/>
                                <w:sz w:val="20"/>
                                <w:szCs w:val="20"/>
                                <w:lang w:eastAsia="fr-FR"/>
                              </w:rPr>
                              <w:drawing>
                                <wp:inline distT="0" distB="0" distL="0" distR="0" wp14:anchorId="0C38E89B" wp14:editId="7E402DFD">
                                  <wp:extent cx="1199545" cy="999097"/>
                                  <wp:effectExtent l="0" t="0" r="635" b="0"/>
                                  <wp:docPr id="9" name="Image 9" descr="http://www.green-law-avocat.fr/wp-content/uploads/2013/06/empilement-texte-cod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een-law-avocat.fr/wp-content/uploads/2013/06/empilement-texte-codific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141" cy="10170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02837" id="Zone de texte 5" o:spid="_x0000_s1028" type="#_x0000_t202" style="position:absolute;left:0;text-align:left;margin-left:356.65pt;margin-top:12.85pt;width:105pt;height:8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" fillcolor="white [3201]" stroked="f" strokeweight=".5pt">
                <v:textbox>
                  <w:txbxContent>
                    <w:p w:rsidR="00130217" w:rsidRDefault="00130217">
                      <w:r>
                        <w:rPr>
                          <w:rFonts w:ascii="Arial" w:hAnsi="Arial" w:cs="Arial"/>
                          <w:noProof/>
                          <w:sz w:val="20"/>
                          <w:szCs w:val="20"/>
                          <w:lang w:eastAsia="fr-FR"/>
                        </w:rPr>
                        <w:drawing>
                          <wp:inline distT="0" distB="0" distL="0" distR="0" wp14:anchorId="0C38E89B" wp14:editId="7E402DFD">
                            <wp:extent cx="1199545" cy="999097"/>
                            <wp:effectExtent l="0" t="0" r="635" b="0"/>
                            <wp:docPr id="9" name="Image 9" descr="http://www.green-law-avocat.fr/wp-content/uploads/2013/06/empilement-texte-codif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reen-law-avocat.fr/wp-content/uploads/2013/06/empilement-texte-codific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141" cy="1017084"/>
                                    </a:xfrm>
                                    <a:prstGeom prst="rect">
                                      <a:avLst/>
                                    </a:prstGeom>
                                    <a:noFill/>
                                    <a:ln>
                                      <a:noFill/>
                                    </a:ln>
                                  </pic:spPr>
                                </pic:pic>
                              </a:graphicData>
                            </a:graphic>
                          </wp:inline>
                        </w:drawing>
                      </w:r>
                    </w:p>
                  </w:txbxContent>
                </v:textbox>
              </v:shape>
            </w:pict>
          </mc:Fallback>
        </mc:AlternateContent>
      </w:r>
      <w:r w:rsidR="006206AF">
        <w:rPr>
          <w:rStyle w:val="Lienhypertexte"/>
          <w:b/>
          <w:color w:val="auto"/>
          <w:u w:val="none"/>
        </w:rPr>
        <w:t xml:space="preserve"> </w:t>
      </w:r>
      <w:r w:rsidR="006206AF">
        <w:rPr>
          <w:rStyle w:val="Lienhypertexte"/>
          <w:b/>
          <w:color w:val="auto"/>
          <w:u w:val="none"/>
        </w:rPr>
        <w:tab/>
      </w:r>
      <w:r w:rsidR="00D47CBA" w:rsidRPr="00CA4F30">
        <w:rPr>
          <w:rStyle w:val="Lienhypertexte"/>
          <w:b/>
          <w:color w:val="auto"/>
          <w:u w:val="none"/>
        </w:rPr>
        <w:t>3</w:t>
      </w:r>
      <w:r w:rsidR="006706A6">
        <w:rPr>
          <w:rStyle w:val="Lienhypertexte"/>
          <w:b/>
          <w:color w:val="auto"/>
          <w:u w:val="none"/>
        </w:rPr>
        <w:t>1</w:t>
      </w:r>
      <w:r w:rsidR="00D47CBA" w:rsidRPr="00CA4F30">
        <w:rPr>
          <w:rStyle w:val="Lienhypertexte"/>
          <w:b/>
          <w:color w:val="auto"/>
          <w:u w:val="none"/>
        </w:rPr>
        <w:t xml:space="preserve"> BREF </w:t>
      </w:r>
      <w:r w:rsidR="00E9123E" w:rsidRPr="00CA4F30">
        <w:rPr>
          <w:rStyle w:val="Lienhypertexte"/>
          <w:b/>
          <w:color w:val="auto"/>
          <w:u w:val="none"/>
        </w:rPr>
        <w:t xml:space="preserve">ont été </w:t>
      </w:r>
      <w:r w:rsidR="00D47CBA" w:rsidRPr="00CA4F30">
        <w:rPr>
          <w:rStyle w:val="Lienhypertexte"/>
          <w:b/>
          <w:color w:val="auto"/>
          <w:u w:val="none"/>
        </w:rPr>
        <w:t xml:space="preserve">adoptés </w:t>
      </w:r>
      <w:r w:rsidR="00B97669" w:rsidRPr="00CA4F30">
        <w:rPr>
          <w:rStyle w:val="Lienhypertexte"/>
          <w:b/>
          <w:color w:val="auto"/>
          <w:u w:val="none"/>
        </w:rPr>
        <w:t>à ce jour</w:t>
      </w:r>
      <w:r w:rsidR="006706A6">
        <w:rPr>
          <w:rStyle w:val="Lienhypertexte"/>
          <w:b/>
          <w:color w:val="auto"/>
          <w:u w:val="none"/>
        </w:rPr>
        <w:t xml:space="preserve"> (version 09 2016)</w:t>
      </w:r>
      <w:r w:rsidR="00B97669" w:rsidRPr="00CA4F30">
        <w:rPr>
          <w:rStyle w:val="Lienhypertexte"/>
          <w:color w:val="auto"/>
          <w:u w:val="none"/>
        </w:rPr>
        <w:t> :</w:t>
      </w:r>
      <w:r w:rsidRPr="00CA4F30">
        <w:rPr>
          <w:rFonts w:ascii="Arial" w:hAnsi="Arial" w:cs="Arial"/>
          <w:noProof/>
          <w:sz w:val="20"/>
          <w:szCs w:val="20"/>
          <w:lang w:eastAsia="fr-FR"/>
        </w:rPr>
        <w:t xml:space="preserve"> </w:t>
      </w:r>
    </w:p>
    <w:p w:rsidR="0041044A" w:rsidRDefault="00D47CBA" w:rsidP="00084685">
      <w:pPr>
        <w:pStyle w:val="Paragraphedeliste"/>
        <w:numPr>
          <w:ilvl w:val="0"/>
          <w:numId w:val="7"/>
        </w:numPr>
        <w:spacing w:line="240" w:lineRule="auto"/>
        <w:rPr>
          <w:rStyle w:val="Lienhypertexte"/>
          <w:color w:val="auto"/>
          <w:u w:val="none"/>
        </w:rPr>
      </w:pPr>
      <w:r w:rsidRPr="00CA4F30">
        <w:rPr>
          <w:rStyle w:val="Lienhypertexte"/>
          <w:b/>
          <w:color w:val="auto"/>
          <w:u w:val="none"/>
        </w:rPr>
        <w:t>2</w:t>
      </w:r>
      <w:r w:rsidR="003E62FF" w:rsidRPr="00CA4F30">
        <w:rPr>
          <w:rStyle w:val="Lienhypertexte"/>
          <w:b/>
          <w:color w:val="auto"/>
          <w:u w:val="none"/>
        </w:rPr>
        <w:t>8</w:t>
      </w:r>
      <w:r w:rsidRPr="00CA4F30">
        <w:rPr>
          <w:rStyle w:val="Lienhypertexte"/>
          <w:b/>
          <w:color w:val="auto"/>
          <w:u w:val="none"/>
        </w:rPr>
        <w:t xml:space="preserve"> BREF verticaux</w:t>
      </w:r>
      <w:r w:rsidR="0041044A">
        <w:rPr>
          <w:rStyle w:val="Lienhypertexte"/>
          <w:color w:val="auto"/>
          <w:u w:val="none"/>
        </w:rPr>
        <w:t xml:space="preserve"> : </w:t>
      </w:r>
      <w:r w:rsidRPr="00B97669">
        <w:rPr>
          <w:rStyle w:val="Lienhypertexte"/>
          <w:color w:val="auto"/>
          <w:u w:val="none"/>
        </w:rPr>
        <w:t xml:space="preserve">MTD pour </w:t>
      </w:r>
      <w:r w:rsidR="00130217">
        <w:rPr>
          <w:rStyle w:val="Lienhypertexte"/>
          <w:color w:val="auto"/>
          <w:u w:val="none"/>
        </w:rPr>
        <w:t xml:space="preserve">certains </w:t>
      </w:r>
      <w:r w:rsidRPr="00B97669">
        <w:rPr>
          <w:rStyle w:val="Lienhypertexte"/>
          <w:color w:val="auto"/>
          <w:u w:val="none"/>
        </w:rPr>
        <w:t>secteurs</w:t>
      </w:r>
      <w:r w:rsidR="0041044A">
        <w:rPr>
          <w:rStyle w:val="Lienhypertexte"/>
          <w:color w:val="auto"/>
          <w:u w:val="none"/>
        </w:rPr>
        <w:t xml:space="preserve"> industriels et agricoles</w:t>
      </w:r>
    </w:p>
    <w:p w:rsidR="00ED4141" w:rsidRDefault="00ED4141" w:rsidP="00084685">
      <w:pPr>
        <w:pStyle w:val="Paragraphedeliste"/>
        <w:numPr>
          <w:ilvl w:val="1"/>
          <w:numId w:val="7"/>
        </w:numPr>
        <w:spacing w:line="240" w:lineRule="auto"/>
        <w:rPr>
          <w:rStyle w:val="Lienhypertexte"/>
          <w:color w:val="auto"/>
          <w:u w:val="none"/>
        </w:rPr>
      </w:pPr>
      <w:r>
        <w:rPr>
          <w:rStyle w:val="Lienhypertexte"/>
          <w:color w:val="auto"/>
          <w:u w:val="none"/>
        </w:rPr>
        <w:t xml:space="preserve">2 </w:t>
      </w:r>
      <w:r w:rsidR="004B2701">
        <w:rPr>
          <w:rStyle w:val="Lienhypertexte"/>
          <w:color w:val="auto"/>
          <w:u w:val="none"/>
        </w:rPr>
        <w:t>pour le secteur E</w:t>
      </w:r>
      <w:r>
        <w:rPr>
          <w:rStyle w:val="Lienhypertexte"/>
          <w:color w:val="auto"/>
          <w:u w:val="none"/>
        </w:rPr>
        <w:t>nergie</w:t>
      </w:r>
      <w:r w:rsidR="004B2701">
        <w:rPr>
          <w:rStyle w:val="Lienhypertexte"/>
          <w:color w:val="auto"/>
          <w:u w:val="none"/>
        </w:rPr>
        <w:t xml:space="preserve"> &amp; combustion</w:t>
      </w:r>
    </w:p>
    <w:p w:rsidR="00ED4141" w:rsidRDefault="004B2701" w:rsidP="00084685">
      <w:pPr>
        <w:pStyle w:val="Paragraphedeliste"/>
        <w:numPr>
          <w:ilvl w:val="1"/>
          <w:numId w:val="7"/>
        </w:numPr>
        <w:spacing w:line="240" w:lineRule="auto"/>
        <w:rPr>
          <w:rStyle w:val="Lienhypertexte"/>
          <w:color w:val="auto"/>
          <w:u w:val="none"/>
        </w:rPr>
      </w:pPr>
      <w:r>
        <w:rPr>
          <w:rStyle w:val="Lienhypertexte"/>
          <w:color w:val="auto"/>
          <w:u w:val="none"/>
        </w:rPr>
        <w:t>4</w:t>
      </w:r>
      <w:r w:rsidR="00ED4141">
        <w:rPr>
          <w:rStyle w:val="Lienhypertexte"/>
          <w:color w:val="auto"/>
          <w:u w:val="none"/>
        </w:rPr>
        <w:t xml:space="preserve"> pour </w:t>
      </w:r>
      <w:r>
        <w:rPr>
          <w:rStyle w:val="Lienhypertexte"/>
          <w:color w:val="auto"/>
          <w:u w:val="none"/>
        </w:rPr>
        <w:t>le secteur d</w:t>
      </w:r>
      <w:r w:rsidR="00ED4141">
        <w:rPr>
          <w:rStyle w:val="Lienhypertexte"/>
          <w:color w:val="auto"/>
          <w:u w:val="none"/>
        </w:rPr>
        <w:t>es Métaux</w:t>
      </w:r>
      <w:r w:rsidR="00130217">
        <w:rPr>
          <w:rStyle w:val="Lienhypertexte"/>
          <w:color w:val="auto"/>
          <w:u w:val="none"/>
        </w:rPr>
        <w:t xml:space="preserve">    </w:t>
      </w:r>
    </w:p>
    <w:p w:rsidR="00ED4141" w:rsidRDefault="00ED4141" w:rsidP="00084685">
      <w:pPr>
        <w:pStyle w:val="Paragraphedeliste"/>
        <w:numPr>
          <w:ilvl w:val="1"/>
          <w:numId w:val="7"/>
        </w:numPr>
        <w:spacing w:line="240" w:lineRule="auto"/>
        <w:rPr>
          <w:rStyle w:val="Lienhypertexte"/>
          <w:color w:val="auto"/>
          <w:u w:val="none"/>
        </w:rPr>
      </w:pPr>
      <w:r>
        <w:rPr>
          <w:rStyle w:val="Lienhypertexte"/>
          <w:color w:val="auto"/>
          <w:u w:val="none"/>
        </w:rPr>
        <w:t xml:space="preserve">3 pour </w:t>
      </w:r>
      <w:r w:rsidR="004B2701">
        <w:rPr>
          <w:rStyle w:val="Lienhypertexte"/>
          <w:color w:val="auto"/>
          <w:u w:val="none"/>
        </w:rPr>
        <w:t>les i</w:t>
      </w:r>
      <w:r>
        <w:rPr>
          <w:rStyle w:val="Lienhypertexte"/>
          <w:color w:val="auto"/>
          <w:u w:val="none"/>
        </w:rPr>
        <w:t>ndustrie</w:t>
      </w:r>
      <w:r w:rsidR="004B2701">
        <w:rPr>
          <w:rStyle w:val="Lienhypertexte"/>
          <w:color w:val="auto"/>
          <w:u w:val="none"/>
        </w:rPr>
        <w:t>s</w:t>
      </w:r>
      <w:r>
        <w:rPr>
          <w:rStyle w:val="Lienhypertexte"/>
          <w:color w:val="auto"/>
          <w:u w:val="none"/>
        </w:rPr>
        <w:t xml:space="preserve"> minérale</w:t>
      </w:r>
      <w:r w:rsidR="004B2701">
        <w:rPr>
          <w:rStyle w:val="Lienhypertexte"/>
          <w:color w:val="auto"/>
          <w:u w:val="none"/>
        </w:rPr>
        <w:t>s</w:t>
      </w:r>
    </w:p>
    <w:p w:rsidR="00ED4141" w:rsidRDefault="00ED4141" w:rsidP="00084685">
      <w:pPr>
        <w:pStyle w:val="Paragraphedeliste"/>
        <w:numPr>
          <w:ilvl w:val="1"/>
          <w:numId w:val="7"/>
        </w:numPr>
        <w:spacing w:line="240" w:lineRule="auto"/>
        <w:rPr>
          <w:rStyle w:val="Lienhypertexte"/>
          <w:color w:val="auto"/>
          <w:u w:val="none"/>
        </w:rPr>
      </w:pPr>
      <w:r>
        <w:rPr>
          <w:rStyle w:val="Lienhypertexte"/>
          <w:color w:val="auto"/>
          <w:u w:val="none"/>
        </w:rPr>
        <w:t xml:space="preserve">8 pour </w:t>
      </w:r>
      <w:r w:rsidR="004B2701">
        <w:rPr>
          <w:rStyle w:val="Lienhypertexte"/>
          <w:color w:val="auto"/>
          <w:u w:val="none"/>
        </w:rPr>
        <w:t xml:space="preserve">le secteur de la </w:t>
      </w:r>
      <w:r>
        <w:rPr>
          <w:rStyle w:val="Lienhypertexte"/>
          <w:color w:val="auto"/>
          <w:u w:val="none"/>
        </w:rPr>
        <w:t>chimi</w:t>
      </w:r>
      <w:r w:rsidR="004B2701">
        <w:rPr>
          <w:rStyle w:val="Lienhypertexte"/>
          <w:color w:val="auto"/>
          <w:u w:val="none"/>
        </w:rPr>
        <w:t>e</w:t>
      </w:r>
    </w:p>
    <w:p w:rsidR="00ED4141" w:rsidRDefault="004B2701" w:rsidP="00084685">
      <w:pPr>
        <w:pStyle w:val="Paragraphedeliste"/>
        <w:numPr>
          <w:ilvl w:val="1"/>
          <w:numId w:val="7"/>
        </w:numPr>
        <w:spacing w:line="240" w:lineRule="auto"/>
        <w:rPr>
          <w:rStyle w:val="Lienhypertexte"/>
          <w:color w:val="auto"/>
          <w:u w:val="none"/>
        </w:rPr>
      </w:pPr>
      <w:r>
        <w:rPr>
          <w:rStyle w:val="Lienhypertexte"/>
          <w:color w:val="auto"/>
          <w:u w:val="none"/>
        </w:rPr>
        <w:t>2</w:t>
      </w:r>
      <w:r w:rsidR="001D7FC7">
        <w:rPr>
          <w:rStyle w:val="Lienhypertexte"/>
          <w:color w:val="auto"/>
          <w:u w:val="none"/>
        </w:rPr>
        <w:t xml:space="preserve"> </w:t>
      </w:r>
      <w:r w:rsidR="001D7FC7" w:rsidRPr="001D7FC7">
        <w:rPr>
          <w:rStyle w:val="Lienhypertexte"/>
          <w:color w:val="auto"/>
          <w:u w:val="none"/>
        </w:rPr>
        <w:t>p</w:t>
      </w:r>
      <w:r w:rsidR="00ED4141" w:rsidRPr="001D7FC7">
        <w:rPr>
          <w:rStyle w:val="Lienhypertexte"/>
          <w:color w:val="auto"/>
          <w:u w:val="none"/>
        </w:rPr>
        <w:t xml:space="preserve">our </w:t>
      </w:r>
      <w:r>
        <w:rPr>
          <w:rStyle w:val="Lienhypertexte"/>
          <w:color w:val="auto"/>
          <w:u w:val="none"/>
        </w:rPr>
        <w:t>le secteur</w:t>
      </w:r>
      <w:r w:rsidR="00ED4141" w:rsidRPr="001D7FC7">
        <w:rPr>
          <w:rStyle w:val="Lienhypertexte"/>
          <w:color w:val="auto"/>
          <w:u w:val="none"/>
        </w:rPr>
        <w:t xml:space="preserve"> des déchets</w:t>
      </w:r>
    </w:p>
    <w:p w:rsidR="001D7FC7" w:rsidRDefault="004B2701" w:rsidP="00084685">
      <w:pPr>
        <w:pStyle w:val="Paragraphedeliste"/>
        <w:numPr>
          <w:ilvl w:val="1"/>
          <w:numId w:val="7"/>
        </w:numPr>
        <w:spacing w:line="240" w:lineRule="auto"/>
        <w:jc w:val="both"/>
        <w:rPr>
          <w:rStyle w:val="Lienhypertexte"/>
          <w:color w:val="auto"/>
          <w:u w:val="none"/>
        </w:rPr>
      </w:pPr>
      <w:r>
        <w:rPr>
          <w:rStyle w:val="Lienhypertexte"/>
          <w:color w:val="auto"/>
          <w:u w:val="none"/>
        </w:rPr>
        <w:t xml:space="preserve">9 « divers » : </w:t>
      </w:r>
      <w:r w:rsidR="001D7FC7">
        <w:rPr>
          <w:rStyle w:val="Lienhypertexte"/>
          <w:color w:val="auto"/>
          <w:u w:val="none"/>
        </w:rPr>
        <w:t>papier, textile, tannerie, abattoirs, agro-alimentaire</w:t>
      </w:r>
      <w:r>
        <w:rPr>
          <w:rStyle w:val="Lienhypertexte"/>
          <w:color w:val="auto"/>
          <w:u w:val="none"/>
        </w:rPr>
        <w:t>, élevages intensifs</w:t>
      </w:r>
      <w:r w:rsidR="001D7FC7">
        <w:rPr>
          <w:rStyle w:val="Lienhypertexte"/>
          <w:color w:val="auto"/>
          <w:u w:val="none"/>
        </w:rPr>
        <w:t>, traitement de surface</w:t>
      </w:r>
      <w:r>
        <w:rPr>
          <w:rStyle w:val="Lienhypertexte"/>
          <w:color w:val="auto"/>
          <w:u w:val="none"/>
        </w:rPr>
        <w:t xml:space="preserve"> à base de solvants, traitement de surface des métaux &amp; plastiques, panneaux à base de bois</w:t>
      </w:r>
    </w:p>
    <w:p w:rsidR="00084685" w:rsidRPr="001D7FC7" w:rsidRDefault="00084685" w:rsidP="00084685">
      <w:pPr>
        <w:pStyle w:val="Paragraphedeliste"/>
        <w:spacing w:line="240" w:lineRule="auto"/>
        <w:ind w:left="1440"/>
        <w:rPr>
          <w:rStyle w:val="Lienhypertexte"/>
          <w:color w:val="auto"/>
          <w:u w:val="none"/>
        </w:rPr>
      </w:pPr>
    </w:p>
    <w:p w:rsidR="00540423" w:rsidRDefault="004B2701" w:rsidP="00084685">
      <w:pPr>
        <w:pStyle w:val="Paragraphedeliste"/>
        <w:numPr>
          <w:ilvl w:val="0"/>
          <w:numId w:val="7"/>
        </w:numPr>
        <w:spacing w:line="240" w:lineRule="auto"/>
        <w:rPr>
          <w:rStyle w:val="Lienhypertexte"/>
          <w:color w:val="auto"/>
          <w:u w:val="none"/>
        </w:rPr>
      </w:pPr>
      <w:r>
        <w:rPr>
          <w:rStyle w:val="Lienhypertexte"/>
          <w:b/>
          <w:color w:val="auto"/>
          <w:u w:val="none"/>
        </w:rPr>
        <w:t>3</w:t>
      </w:r>
      <w:r w:rsidR="00D47CBA" w:rsidRPr="00CA4F30">
        <w:rPr>
          <w:rStyle w:val="Lienhypertexte"/>
          <w:b/>
          <w:color w:val="auto"/>
          <w:u w:val="none"/>
        </w:rPr>
        <w:t xml:space="preserve"> BREF </w:t>
      </w:r>
      <w:r w:rsidR="00D1297A" w:rsidRPr="00CA4F30">
        <w:rPr>
          <w:rStyle w:val="Lienhypertexte"/>
          <w:b/>
          <w:color w:val="auto"/>
          <w:u w:val="none"/>
        </w:rPr>
        <w:t>transversaux</w:t>
      </w:r>
      <w:r w:rsidR="00D1297A">
        <w:rPr>
          <w:rStyle w:val="Lienhypertexte"/>
          <w:color w:val="auto"/>
          <w:u w:val="none"/>
        </w:rPr>
        <w:t> </w:t>
      </w:r>
      <w:r w:rsidR="0041044A">
        <w:rPr>
          <w:rStyle w:val="Lienhypertexte"/>
          <w:color w:val="auto"/>
          <w:u w:val="none"/>
        </w:rPr>
        <w:t>: applicables</w:t>
      </w:r>
      <w:r w:rsidR="00540423">
        <w:rPr>
          <w:rStyle w:val="Lienhypertexte"/>
          <w:color w:val="auto"/>
          <w:u w:val="none"/>
        </w:rPr>
        <w:t xml:space="preserve"> à plusieurs secteurs</w:t>
      </w:r>
    </w:p>
    <w:p w:rsidR="004B2701" w:rsidRDefault="004B2701" w:rsidP="004B2701">
      <w:pPr>
        <w:pStyle w:val="Paragraphedeliste"/>
        <w:numPr>
          <w:ilvl w:val="1"/>
          <w:numId w:val="7"/>
        </w:numPr>
        <w:spacing w:line="240" w:lineRule="auto"/>
        <w:rPr>
          <w:rStyle w:val="Lienhypertexte"/>
          <w:color w:val="auto"/>
          <w:u w:val="none"/>
        </w:rPr>
      </w:pPr>
      <w:r w:rsidRPr="004B2701">
        <w:rPr>
          <w:rStyle w:val="Lienhypertexte"/>
          <w:color w:val="auto"/>
          <w:u w:val="none"/>
        </w:rPr>
        <w:t>Systèmes de refroidissement industriels</w:t>
      </w:r>
    </w:p>
    <w:p w:rsidR="004B2701" w:rsidRDefault="004B2701" w:rsidP="004B2701">
      <w:pPr>
        <w:pStyle w:val="Paragraphedeliste"/>
        <w:numPr>
          <w:ilvl w:val="1"/>
          <w:numId w:val="7"/>
        </w:numPr>
        <w:spacing w:line="240" w:lineRule="auto"/>
        <w:rPr>
          <w:rStyle w:val="Lienhypertexte"/>
          <w:color w:val="auto"/>
          <w:u w:val="none"/>
        </w:rPr>
      </w:pPr>
      <w:r>
        <w:rPr>
          <w:rStyle w:val="Lienhypertexte"/>
          <w:color w:val="auto"/>
          <w:u w:val="none"/>
        </w:rPr>
        <w:t>Emissions des stockages</w:t>
      </w:r>
    </w:p>
    <w:p w:rsidR="004B2701" w:rsidRPr="004B2701" w:rsidRDefault="004B2701" w:rsidP="004B2701">
      <w:pPr>
        <w:pStyle w:val="Paragraphedeliste"/>
        <w:numPr>
          <w:ilvl w:val="1"/>
          <w:numId w:val="7"/>
        </w:numPr>
        <w:spacing w:line="240" w:lineRule="auto"/>
        <w:rPr>
          <w:rStyle w:val="Lienhypertexte"/>
          <w:color w:val="auto"/>
          <w:u w:val="none"/>
        </w:rPr>
      </w:pPr>
      <w:r>
        <w:rPr>
          <w:rStyle w:val="Lienhypertexte"/>
          <w:color w:val="auto"/>
          <w:u w:val="none"/>
        </w:rPr>
        <w:t>Efficacité énergétique</w:t>
      </w:r>
    </w:p>
    <w:p w:rsidR="007526E0" w:rsidRPr="00117874" w:rsidRDefault="007526E0" w:rsidP="00117874">
      <w:pPr>
        <w:jc w:val="both"/>
        <w:rPr>
          <w:rStyle w:val="Lienhypertexte"/>
          <w:b/>
          <w:color w:val="FF0000"/>
          <w:u w:val="none"/>
        </w:rPr>
      </w:pPr>
      <w:r w:rsidRPr="00117874">
        <w:rPr>
          <w:rStyle w:val="Lienhypertexte"/>
          <w:b/>
          <w:color w:val="FF0000"/>
          <w:u w:val="none"/>
        </w:rPr>
        <w:t xml:space="preserve">Pour une installation donnée, sont à appliquer le ou les BREF verticaux concernés + le ou les BREF </w:t>
      </w:r>
      <w:r w:rsidR="00117874" w:rsidRPr="00117874">
        <w:rPr>
          <w:rStyle w:val="Lienhypertexte"/>
          <w:b/>
          <w:color w:val="FF0000"/>
          <w:u w:val="none"/>
        </w:rPr>
        <w:t>transversaux</w:t>
      </w:r>
      <w:r w:rsidRPr="00117874">
        <w:rPr>
          <w:rStyle w:val="Lienhypertexte"/>
          <w:b/>
          <w:color w:val="FF0000"/>
          <w:u w:val="none"/>
        </w:rPr>
        <w:t xml:space="preserve"> pertinents.</w:t>
      </w:r>
    </w:p>
    <w:p w:rsidR="007526E0" w:rsidRPr="007526E0" w:rsidRDefault="007526E0" w:rsidP="007526E0">
      <w:pPr>
        <w:rPr>
          <w:rStyle w:val="Lienhypertexte"/>
          <w:color w:val="auto"/>
          <w:u w:val="none"/>
        </w:rPr>
      </w:pPr>
      <w:r>
        <w:rPr>
          <w:noProof/>
          <w:lang w:eastAsia="fr-FR"/>
        </w:rPr>
        <mc:AlternateContent>
          <mc:Choice Requires="wps">
            <w:drawing>
              <wp:anchor distT="0" distB="0" distL="114300" distR="114300" simplePos="0" relativeHeight="251670528" behindDoc="0" locked="0" layoutInCell="1" allowOverlap="1" wp14:anchorId="6B2298B1" wp14:editId="2948A807">
                <wp:simplePos x="0" y="0"/>
                <wp:positionH relativeFrom="column">
                  <wp:posOffset>0</wp:posOffset>
                </wp:positionH>
                <wp:positionV relativeFrom="paragraph">
                  <wp:posOffset>161925</wp:posOffset>
                </wp:positionV>
                <wp:extent cx="733425" cy="342900"/>
                <wp:effectExtent l="0" t="19050" r="47625" b="38100"/>
                <wp:wrapNone/>
                <wp:docPr id="12" name="Flèche droite 12"/>
                <wp:cNvGraphicFramePr/>
                <a:graphic xmlns:a="http://schemas.openxmlformats.org/drawingml/2006/main">
                  <a:graphicData uri="http://schemas.microsoft.com/office/word/2010/wordprocessingShape">
                    <wps:wsp>
                      <wps:cNvSpPr/>
                      <wps:spPr>
                        <a:xfrm>
                          <a:off x="0" y="0"/>
                          <a:ext cx="733425" cy="3429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564E2" id="Flèche droite 12" o:spid="_x0000_s1026" type="#_x0000_t13" style="position:absolute;margin-left:0;margin-top:12.75pt;width:57.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" adj="16551" fillcolor="#0070c0" strokecolor="#c45911 [2405]" strokeweight="1.5pt"/>
            </w:pict>
          </mc:Fallback>
        </mc:AlternateContent>
      </w:r>
    </w:p>
    <w:p w:rsidR="007526E0" w:rsidRDefault="007526E0" w:rsidP="007526E0">
      <w:pPr>
        <w:spacing w:line="240" w:lineRule="auto"/>
        <w:ind w:left="708" w:firstLine="708"/>
        <w:rPr>
          <w:rStyle w:val="Lienhypertexte"/>
          <w:color w:val="auto"/>
          <w:u w:val="none"/>
        </w:rPr>
      </w:pPr>
      <w:r>
        <w:rPr>
          <w:rStyle w:val="Lienhypertexte"/>
          <w:color w:val="auto"/>
          <w:u w:val="none"/>
        </w:rPr>
        <w:t xml:space="preserve">A </w:t>
      </w:r>
      <w:r w:rsidR="001F7391">
        <w:rPr>
          <w:rStyle w:val="Lienhypertexte"/>
          <w:color w:val="auto"/>
          <w:u w:val="none"/>
        </w:rPr>
        <w:t>date</w:t>
      </w:r>
      <w:r>
        <w:rPr>
          <w:rStyle w:val="Lienhypertexte"/>
          <w:color w:val="auto"/>
          <w:u w:val="none"/>
        </w:rPr>
        <w:t xml:space="preserve">, </w:t>
      </w:r>
      <w:r w:rsidR="00713528" w:rsidRPr="00713528">
        <w:rPr>
          <w:rStyle w:val="Lienhypertexte"/>
          <w:b/>
          <w:color w:val="FF0000"/>
          <w:u w:val="none"/>
        </w:rPr>
        <w:t>1</w:t>
      </w:r>
      <w:r w:rsidR="003644E7">
        <w:rPr>
          <w:rStyle w:val="Lienhypertexte"/>
          <w:b/>
          <w:color w:val="FF0000"/>
          <w:u w:val="none"/>
        </w:rPr>
        <w:t>2</w:t>
      </w:r>
      <w:r w:rsidRPr="00713528">
        <w:rPr>
          <w:rStyle w:val="Lienhypertexte"/>
          <w:b/>
          <w:color w:val="FF0000"/>
          <w:u w:val="none"/>
        </w:rPr>
        <w:t xml:space="preserve"> Conclusions de MTD ont été adoptées</w:t>
      </w:r>
      <w:r>
        <w:rPr>
          <w:rStyle w:val="Lienhypertexte"/>
          <w:color w:val="auto"/>
          <w:u w:val="none"/>
        </w:rPr>
        <w:t xml:space="preserve">, dans les domaines suivants : </w:t>
      </w:r>
    </w:p>
    <w:p w:rsidR="00713528" w:rsidRPr="006E20A6" w:rsidRDefault="00713528" w:rsidP="007526E0">
      <w:pPr>
        <w:pStyle w:val="Paragraphedeliste"/>
        <w:numPr>
          <w:ilvl w:val="0"/>
          <w:numId w:val="14"/>
        </w:numPr>
        <w:spacing w:line="240" w:lineRule="auto"/>
        <w:rPr>
          <w:rStyle w:val="Lienhypertexte"/>
          <w:color w:val="auto"/>
          <w:u w:val="none"/>
        </w:rPr>
      </w:pPr>
      <w:r w:rsidRPr="006E20A6">
        <w:rPr>
          <w:rStyle w:val="Lienhypertexte"/>
          <w:color w:val="auto"/>
          <w:u w:val="none"/>
        </w:rPr>
        <w:t>sidérurgie</w:t>
      </w:r>
      <w:r w:rsidR="006E20A6" w:rsidRPr="006E20A6">
        <w:rPr>
          <w:rStyle w:val="Lienhypertexte"/>
          <w:color w:val="auto"/>
          <w:u w:val="none"/>
        </w:rPr>
        <w:t xml:space="preserve"> (28/02/2012)</w:t>
      </w:r>
    </w:p>
    <w:p w:rsidR="006E20A6" w:rsidRPr="006E20A6" w:rsidRDefault="006E20A6" w:rsidP="006E20A6">
      <w:pPr>
        <w:pStyle w:val="Paragraphedeliste"/>
        <w:numPr>
          <w:ilvl w:val="0"/>
          <w:numId w:val="14"/>
        </w:numPr>
        <w:spacing w:line="240" w:lineRule="auto"/>
        <w:rPr>
          <w:rStyle w:val="Lienhypertexte"/>
          <w:color w:val="auto"/>
          <w:u w:val="none"/>
        </w:rPr>
      </w:pPr>
      <w:r w:rsidRPr="006E20A6">
        <w:rPr>
          <w:rStyle w:val="Lienhypertexte"/>
          <w:color w:val="auto"/>
          <w:u w:val="none"/>
        </w:rPr>
        <w:t>fabrication du verre (28/02/2012)</w:t>
      </w:r>
    </w:p>
    <w:p w:rsidR="006E20A6" w:rsidRPr="006E20A6" w:rsidRDefault="006E20A6" w:rsidP="006E20A6">
      <w:pPr>
        <w:pStyle w:val="Paragraphedeliste"/>
        <w:numPr>
          <w:ilvl w:val="0"/>
          <w:numId w:val="14"/>
        </w:numPr>
        <w:spacing w:line="240" w:lineRule="auto"/>
        <w:rPr>
          <w:rStyle w:val="Lienhypertexte"/>
          <w:color w:val="auto"/>
          <w:u w:val="none"/>
        </w:rPr>
      </w:pPr>
      <w:r w:rsidRPr="006E20A6">
        <w:rPr>
          <w:rStyle w:val="Lienhypertexte"/>
          <w:color w:val="auto"/>
          <w:u w:val="none"/>
        </w:rPr>
        <w:t>tannage des peaux  (</w:t>
      </w:r>
      <w:hyperlink r:id="rId10" w:history="1">
        <w:r w:rsidRPr="006E20A6">
          <w:rPr>
            <w:rStyle w:val="Lienhypertexte"/>
            <w:color w:val="auto"/>
            <w:u w:val="none"/>
          </w:rPr>
          <w:t>11/02/2013</w:t>
        </w:r>
      </w:hyperlink>
      <w:r w:rsidRPr="006E20A6">
        <w:rPr>
          <w:rStyle w:val="Lienhypertexte"/>
          <w:bCs/>
          <w:color w:val="auto"/>
          <w:u w:val="none"/>
        </w:rPr>
        <w:t>)</w:t>
      </w:r>
    </w:p>
    <w:p w:rsidR="006E20A6" w:rsidRPr="006E20A6" w:rsidRDefault="006E20A6" w:rsidP="007526E0">
      <w:pPr>
        <w:pStyle w:val="Paragraphedeliste"/>
        <w:numPr>
          <w:ilvl w:val="0"/>
          <w:numId w:val="14"/>
        </w:numPr>
        <w:spacing w:line="240" w:lineRule="auto"/>
        <w:rPr>
          <w:rStyle w:val="Lienhypertexte"/>
          <w:color w:val="auto"/>
          <w:u w:val="none"/>
        </w:rPr>
      </w:pPr>
      <w:r w:rsidRPr="006E20A6">
        <w:rPr>
          <w:rStyle w:val="Lienhypertexte"/>
          <w:bCs/>
          <w:color w:val="auto"/>
          <w:u w:val="none"/>
        </w:rPr>
        <w:t xml:space="preserve">production de ciment, de chaux et d'oxyde de magnésium </w:t>
      </w:r>
      <w:hyperlink r:id="rId11" w:history="1">
        <w:r w:rsidRPr="006E20A6">
          <w:rPr>
            <w:rStyle w:val="Lienhypertexte"/>
            <w:color w:val="auto"/>
            <w:u w:val="none"/>
          </w:rPr>
          <w:t>26/03/2013</w:t>
        </w:r>
      </w:hyperlink>
    </w:p>
    <w:p w:rsidR="00713528" w:rsidRPr="006E20A6" w:rsidRDefault="006E20A6" w:rsidP="007526E0">
      <w:pPr>
        <w:pStyle w:val="Paragraphedeliste"/>
        <w:numPr>
          <w:ilvl w:val="0"/>
          <w:numId w:val="14"/>
        </w:numPr>
        <w:spacing w:line="240" w:lineRule="auto"/>
        <w:rPr>
          <w:rStyle w:val="Lienhypertexte"/>
          <w:color w:val="auto"/>
          <w:u w:val="none"/>
        </w:rPr>
      </w:pPr>
      <w:r w:rsidRPr="006E20A6">
        <w:rPr>
          <w:rStyle w:val="Lienhypertexte"/>
          <w:color w:val="auto"/>
          <w:u w:val="none"/>
        </w:rPr>
        <w:t>la</w:t>
      </w:r>
      <w:r w:rsidRPr="006E20A6">
        <w:rPr>
          <w:rStyle w:val="Lienhypertexte"/>
          <w:bCs/>
          <w:color w:val="auto"/>
          <w:u w:val="none"/>
        </w:rPr>
        <w:t> production de chlore et de soude (</w:t>
      </w:r>
      <w:hyperlink r:id="rId12" w:history="1">
        <w:r w:rsidRPr="006E20A6">
          <w:rPr>
            <w:rStyle w:val="Lienhypertexte"/>
            <w:color w:val="auto"/>
            <w:u w:val="none"/>
          </w:rPr>
          <w:t>09/12/2013</w:t>
        </w:r>
      </w:hyperlink>
      <w:r w:rsidRPr="006E20A6">
        <w:rPr>
          <w:rStyle w:val="Lienhypertexte"/>
          <w:bCs/>
          <w:color w:val="auto"/>
          <w:u w:val="none"/>
        </w:rPr>
        <w:t>)</w:t>
      </w:r>
    </w:p>
    <w:p w:rsidR="006E20A6" w:rsidRPr="006E20A6" w:rsidRDefault="006E20A6" w:rsidP="007526E0">
      <w:pPr>
        <w:pStyle w:val="Paragraphedeliste"/>
        <w:numPr>
          <w:ilvl w:val="0"/>
          <w:numId w:val="14"/>
        </w:numPr>
        <w:spacing w:line="240" w:lineRule="auto"/>
        <w:rPr>
          <w:rStyle w:val="Lienhypertexte"/>
          <w:color w:val="auto"/>
          <w:u w:val="none"/>
        </w:rPr>
      </w:pPr>
      <w:r w:rsidRPr="006E20A6">
        <w:rPr>
          <w:rStyle w:val="Lienhypertexte"/>
          <w:bCs/>
          <w:color w:val="auto"/>
          <w:u w:val="none"/>
        </w:rPr>
        <w:t>production de pâte à papier, de papier et de carton (</w:t>
      </w:r>
      <w:hyperlink r:id="rId13" w:history="1">
        <w:r w:rsidRPr="006E20A6">
          <w:rPr>
            <w:rStyle w:val="Lienhypertexte"/>
            <w:color w:val="auto"/>
            <w:u w:val="none"/>
          </w:rPr>
          <w:t>26/09/2014</w:t>
        </w:r>
      </w:hyperlink>
      <w:r w:rsidRPr="006E20A6">
        <w:rPr>
          <w:rStyle w:val="Lienhypertexte"/>
          <w:bCs/>
          <w:color w:val="auto"/>
          <w:u w:val="none"/>
        </w:rPr>
        <w:t>)</w:t>
      </w:r>
    </w:p>
    <w:p w:rsidR="006E20A6" w:rsidRPr="006E20A6" w:rsidRDefault="006E20A6" w:rsidP="007526E0">
      <w:pPr>
        <w:pStyle w:val="Paragraphedeliste"/>
        <w:numPr>
          <w:ilvl w:val="0"/>
          <w:numId w:val="14"/>
        </w:numPr>
        <w:spacing w:line="240" w:lineRule="auto"/>
        <w:rPr>
          <w:rStyle w:val="Lienhypertexte"/>
          <w:color w:val="auto"/>
          <w:u w:val="none"/>
        </w:rPr>
      </w:pPr>
      <w:r w:rsidRPr="006E20A6">
        <w:rPr>
          <w:rStyle w:val="Lienhypertexte"/>
          <w:bCs/>
          <w:color w:val="auto"/>
          <w:u w:val="none"/>
        </w:rPr>
        <w:t>raffinage de pétrole et de gaz (</w:t>
      </w:r>
      <w:hyperlink r:id="rId14" w:history="1">
        <w:r w:rsidRPr="006E20A6">
          <w:rPr>
            <w:rStyle w:val="Lienhypertexte"/>
            <w:color w:val="auto"/>
            <w:u w:val="none"/>
          </w:rPr>
          <w:t>09/10/2014</w:t>
        </w:r>
      </w:hyperlink>
      <w:r w:rsidRPr="006E20A6">
        <w:rPr>
          <w:rStyle w:val="Lienhypertexte"/>
          <w:bCs/>
          <w:color w:val="auto"/>
          <w:u w:val="none"/>
        </w:rPr>
        <w:t>)</w:t>
      </w:r>
    </w:p>
    <w:p w:rsidR="003644E7" w:rsidRPr="006E20A6" w:rsidRDefault="006E20A6" w:rsidP="003644E7">
      <w:pPr>
        <w:pStyle w:val="Paragraphedeliste"/>
        <w:numPr>
          <w:ilvl w:val="0"/>
          <w:numId w:val="14"/>
        </w:numPr>
        <w:spacing w:line="240" w:lineRule="auto"/>
        <w:rPr>
          <w:rStyle w:val="Lienhypertexte"/>
          <w:color w:val="auto"/>
          <w:u w:val="none"/>
        </w:rPr>
      </w:pPr>
      <w:r w:rsidRPr="006E20A6">
        <w:rPr>
          <w:rStyle w:val="Lienhypertexte"/>
          <w:bCs/>
          <w:color w:val="auto"/>
          <w:u w:val="none"/>
        </w:rPr>
        <w:t xml:space="preserve">fabrication de </w:t>
      </w:r>
      <w:r w:rsidR="00713528" w:rsidRPr="006E20A6">
        <w:rPr>
          <w:rStyle w:val="Lienhypertexte"/>
          <w:color w:val="auto"/>
          <w:u w:val="none"/>
        </w:rPr>
        <w:t>panneaux à base de bois</w:t>
      </w:r>
      <w:r w:rsidRPr="006E20A6">
        <w:rPr>
          <w:rStyle w:val="Lienhypertexte"/>
          <w:color w:val="auto"/>
          <w:u w:val="none"/>
        </w:rPr>
        <w:t xml:space="preserve"> (</w:t>
      </w:r>
      <w:hyperlink r:id="rId15" w:history="1">
        <w:r w:rsidRPr="006E20A6">
          <w:rPr>
            <w:rStyle w:val="Lienhypertexte"/>
            <w:color w:val="auto"/>
            <w:u w:val="none"/>
          </w:rPr>
          <w:t>20/11/2015</w:t>
        </w:r>
      </w:hyperlink>
      <w:r w:rsidRPr="006E20A6">
        <w:rPr>
          <w:rStyle w:val="Lienhypertexte"/>
          <w:bCs/>
          <w:color w:val="auto"/>
          <w:u w:val="none"/>
        </w:rPr>
        <w:t>)</w:t>
      </w:r>
    </w:p>
    <w:p w:rsidR="006E20A6" w:rsidRPr="006E20A6" w:rsidRDefault="006E20A6" w:rsidP="003644E7">
      <w:pPr>
        <w:pStyle w:val="Paragraphedeliste"/>
        <w:numPr>
          <w:ilvl w:val="0"/>
          <w:numId w:val="14"/>
        </w:numPr>
        <w:spacing w:line="240" w:lineRule="auto"/>
        <w:rPr>
          <w:rStyle w:val="Lienhypertexte"/>
          <w:color w:val="auto"/>
          <w:u w:val="none"/>
        </w:rPr>
      </w:pPr>
      <w:r w:rsidRPr="006E20A6">
        <w:rPr>
          <w:rStyle w:val="Lienhypertexte"/>
          <w:bCs/>
          <w:color w:val="auto"/>
          <w:u w:val="none"/>
        </w:rPr>
        <w:t>systèmes communs de traitement/gestion des effluents aqueux et gazeux dans le secteur chimique (</w:t>
      </w:r>
      <w:hyperlink r:id="rId16" w:history="1">
        <w:r w:rsidRPr="006E20A6">
          <w:rPr>
            <w:rStyle w:val="Lienhypertexte"/>
            <w:color w:val="auto"/>
            <w:u w:val="none"/>
          </w:rPr>
          <w:t>30/05/2016</w:t>
        </w:r>
      </w:hyperlink>
      <w:r w:rsidRPr="006E20A6">
        <w:rPr>
          <w:rStyle w:val="Lienhypertexte"/>
          <w:bCs/>
          <w:color w:val="auto"/>
          <w:u w:val="none"/>
        </w:rPr>
        <w:t>)</w:t>
      </w:r>
    </w:p>
    <w:p w:rsidR="006E20A6" w:rsidRPr="006E20A6" w:rsidRDefault="006E20A6" w:rsidP="003644E7">
      <w:pPr>
        <w:pStyle w:val="Paragraphedeliste"/>
        <w:numPr>
          <w:ilvl w:val="0"/>
          <w:numId w:val="14"/>
        </w:numPr>
        <w:spacing w:line="240" w:lineRule="auto"/>
        <w:rPr>
          <w:rStyle w:val="Lienhypertexte"/>
          <w:color w:val="auto"/>
          <w:u w:val="none"/>
        </w:rPr>
      </w:pPr>
      <w:r w:rsidRPr="006E20A6">
        <w:rPr>
          <w:rStyle w:val="Lienhypertexte"/>
          <w:bCs/>
          <w:color w:val="auto"/>
          <w:u w:val="none"/>
        </w:rPr>
        <w:t>industrie des métaux non ferreux (</w:t>
      </w:r>
      <w:hyperlink r:id="rId17" w:history="1">
        <w:r w:rsidRPr="006E20A6">
          <w:rPr>
            <w:rStyle w:val="Lienhypertexte"/>
            <w:color w:val="auto"/>
            <w:u w:val="none"/>
          </w:rPr>
          <w:t>13/06/2016</w:t>
        </w:r>
        <w:r w:rsidRPr="006E20A6">
          <w:rPr>
            <w:rStyle w:val="Lienhypertexte"/>
            <w:color w:val="auto"/>
            <w:u w:val="none"/>
          </w:rPr>
          <w:t xml:space="preserve"> - </w:t>
        </w:r>
        <w:r w:rsidRPr="006E20A6">
          <w:rPr>
            <w:rStyle w:val="Lienhypertexte"/>
            <w:color w:val="auto"/>
            <w:u w:val="none"/>
          </w:rPr>
          <w:t>non consolidée)</w:t>
        </w:r>
      </w:hyperlink>
    </w:p>
    <w:p w:rsidR="006E20A6" w:rsidRPr="006E20A6" w:rsidRDefault="006E20A6" w:rsidP="006E20A6">
      <w:pPr>
        <w:pStyle w:val="Paragraphedeliste"/>
        <w:numPr>
          <w:ilvl w:val="0"/>
          <w:numId w:val="14"/>
        </w:numPr>
        <w:spacing w:line="240" w:lineRule="auto"/>
        <w:rPr>
          <w:rStyle w:val="Lienhypertexte"/>
          <w:color w:val="auto"/>
          <w:u w:val="none"/>
        </w:rPr>
      </w:pPr>
      <w:r w:rsidRPr="006E20A6">
        <w:rPr>
          <w:rStyle w:val="Lienhypertexte"/>
          <w:bCs/>
          <w:color w:val="auto"/>
          <w:u w:val="none"/>
        </w:rPr>
        <w:t>élevage intensif de volailles ou de porcs</w:t>
      </w:r>
      <w:r w:rsidRPr="006E20A6">
        <w:rPr>
          <w:rStyle w:val="Lienhypertexte"/>
          <w:color w:val="auto"/>
          <w:u w:val="none"/>
        </w:rPr>
        <w:t> (15/02/2017 - version E</w:t>
      </w:r>
      <w:r w:rsidR="00315B32">
        <w:rPr>
          <w:rStyle w:val="Lienhypertexte"/>
          <w:color w:val="auto"/>
          <w:u w:val="none"/>
        </w:rPr>
        <w:t>UR-</w:t>
      </w:r>
      <w:proofErr w:type="spellStart"/>
      <w:r w:rsidR="00315B32">
        <w:rPr>
          <w:rStyle w:val="Lienhypertexte"/>
          <w:color w:val="auto"/>
          <w:u w:val="none"/>
        </w:rPr>
        <w:t>L</w:t>
      </w:r>
      <w:r w:rsidRPr="006E20A6">
        <w:rPr>
          <w:rStyle w:val="Lienhypertexte"/>
          <w:color w:val="auto"/>
          <w:u w:val="none"/>
        </w:rPr>
        <w:t>ex</w:t>
      </w:r>
      <w:proofErr w:type="spellEnd"/>
      <w:r w:rsidRPr="006E20A6">
        <w:rPr>
          <w:rStyle w:val="Lienhypertexte"/>
          <w:color w:val="auto"/>
          <w:u w:val="none"/>
        </w:rPr>
        <w:t xml:space="preserve"> consolidée)</w:t>
      </w:r>
    </w:p>
    <w:p w:rsidR="006E20A6" w:rsidRPr="006E20A6" w:rsidRDefault="006E20A6" w:rsidP="006E20A6">
      <w:pPr>
        <w:pStyle w:val="Paragraphedeliste"/>
        <w:numPr>
          <w:ilvl w:val="0"/>
          <w:numId w:val="14"/>
        </w:numPr>
        <w:spacing w:line="240" w:lineRule="auto"/>
        <w:rPr>
          <w:rStyle w:val="Lienhypertexte"/>
          <w:color w:val="auto"/>
          <w:u w:val="none"/>
        </w:rPr>
      </w:pPr>
      <w:r w:rsidRPr="006E20A6">
        <w:rPr>
          <w:rStyle w:val="Lienhypertexte"/>
          <w:bCs/>
          <w:color w:val="auto"/>
          <w:u w:val="none"/>
        </w:rPr>
        <w:t>grandes installations de combustion (</w:t>
      </w:r>
      <w:hyperlink r:id="rId18" w:history="1">
        <w:r w:rsidRPr="006E20A6">
          <w:rPr>
            <w:rStyle w:val="Lienhypertexte"/>
            <w:color w:val="auto"/>
            <w:u w:val="none"/>
          </w:rPr>
          <w:t>31/07/2017</w:t>
        </w:r>
      </w:hyperlink>
      <w:r w:rsidRPr="006E20A6">
        <w:rPr>
          <w:rStyle w:val="Lienhypertexte"/>
          <w:bCs/>
          <w:color w:val="auto"/>
          <w:u w:val="none"/>
        </w:rPr>
        <w:t>)</w:t>
      </w:r>
    </w:p>
    <w:p w:rsidR="003644E7" w:rsidRDefault="003644E7" w:rsidP="003644E7">
      <w:pPr>
        <w:pStyle w:val="ox-7ec3a8c54a-msonormal"/>
        <w:spacing w:before="0" w:beforeAutospacing="0" w:after="150" w:afterAutospacing="0"/>
        <w:rPr>
          <w:rFonts w:ascii="Arial" w:hAnsi="Arial" w:cs="Arial"/>
          <w:color w:val="333333"/>
          <w:sz w:val="21"/>
          <w:szCs w:val="21"/>
        </w:rPr>
      </w:pPr>
      <w:r>
        <w:rPr>
          <w:rFonts w:ascii="Calibri" w:hAnsi="Calibri" w:cs="Arial"/>
          <w:color w:val="1F497D"/>
          <w:sz w:val="22"/>
          <w:szCs w:val="22"/>
        </w:rPr>
        <w:t> </w:t>
      </w:r>
    </w:p>
    <w:p w:rsidR="00C30794" w:rsidRPr="00F05498" w:rsidRDefault="00D25D4F" w:rsidP="00F05498">
      <w:pPr>
        <w:ind w:left="4950" w:hanging="4950"/>
        <w:rPr>
          <w:rStyle w:val="Lienhypertexte"/>
          <w:color w:val="2E74B5" w:themeColor="accent1" w:themeShade="BF"/>
        </w:rPr>
      </w:pPr>
      <w:r w:rsidRPr="00F05498">
        <w:rPr>
          <w:rStyle w:val="Lienhypertexte"/>
          <w:b/>
          <w:color w:val="auto"/>
          <w:sz w:val="36"/>
          <w:szCs w:val="36"/>
          <w:u w:val="none"/>
        </w:rPr>
        <w:t>Pour en savoir plus sur les BREF </w:t>
      </w:r>
      <w:r w:rsidRPr="00F05498">
        <w:rPr>
          <w:rStyle w:val="Lienhypertexte"/>
          <w:i/>
          <w:color w:val="auto"/>
          <w:u w:val="none"/>
        </w:rPr>
        <w:t xml:space="preserve"> </w:t>
      </w:r>
      <w:r w:rsidR="00C30794">
        <w:rPr>
          <w:rStyle w:val="Lienhypertexte"/>
          <w:i/>
          <w:color w:val="2E74B5" w:themeColor="accent1" w:themeShade="BF"/>
          <w:u w:val="none"/>
        </w:rPr>
        <w:tab/>
      </w:r>
      <w:hyperlink r:id="rId19" w:history="1">
        <w:r w:rsidR="00713528" w:rsidRPr="00F05498">
          <w:rPr>
            <w:rStyle w:val="Lienhypertexte"/>
            <w:color w:val="2E74B5" w:themeColor="accent1" w:themeShade="BF"/>
          </w:rPr>
          <w:t>http://ied.ineris.fr/documents_bref</w:t>
        </w:r>
      </w:hyperlink>
      <w:r w:rsidR="00C30794">
        <w:rPr>
          <w:rStyle w:val="Lienhypertexte"/>
          <w:color w:val="2E74B5" w:themeColor="accent1" w:themeShade="BF"/>
          <w:u w:val="none"/>
        </w:rPr>
        <w:t xml:space="preserve">  </w:t>
      </w:r>
      <w:hyperlink r:id="rId20" w:history="1">
        <w:r w:rsidR="00C30794" w:rsidRPr="00F05498">
          <w:rPr>
            <w:rStyle w:val="Lienhypertexte"/>
            <w:color w:val="2E74B5" w:themeColor="accent1" w:themeShade="BF"/>
          </w:rPr>
          <w:t>http://eippcb.jrc.ec.europa.eu/reference</w:t>
        </w:r>
      </w:hyperlink>
    </w:p>
    <w:p w:rsidR="00117874" w:rsidRDefault="00117874" w:rsidP="00C30794">
      <w:pPr>
        <w:jc w:val="both"/>
      </w:pPr>
      <w:r w:rsidRPr="00713528">
        <w:rPr>
          <w:rStyle w:val="Lienhypertexte"/>
          <w:color w:val="auto"/>
          <w:u w:val="none"/>
        </w:rPr>
        <w:t xml:space="preserve">Ces documents de référence doivent être revisités au plus tard tous les 8 ans. </w:t>
      </w:r>
      <w:r w:rsidRPr="00C30794">
        <w:rPr>
          <w:b/>
          <w:color w:val="FF0000"/>
        </w:rPr>
        <w:t>Concernant principalement les MTD et les BATAEL associées, ces révisions permettent de prendre en compte l’évolution constante des technologies et des coûts</w:t>
      </w:r>
      <w:r>
        <w:t xml:space="preserve">, le retour d’expérience et l’introduction de techniques environnementales dans l’industrie. Dans la réalité, ils sont révisés moins fréquemment. </w:t>
      </w:r>
    </w:p>
    <w:p w:rsidR="00315B32" w:rsidRDefault="00315B32" w:rsidP="00C30794">
      <w:pPr>
        <w:jc w:val="both"/>
      </w:pPr>
    </w:p>
    <w:p w:rsidR="00315B32" w:rsidRDefault="00315B32" w:rsidP="00C30794">
      <w:pPr>
        <w:jc w:val="both"/>
      </w:pPr>
    </w:p>
    <w:p w:rsidR="00315B32" w:rsidRDefault="00315B32" w:rsidP="00C30794">
      <w:pPr>
        <w:jc w:val="both"/>
      </w:pPr>
    </w:p>
    <w:p w:rsidR="0007678E" w:rsidRDefault="0007678E" w:rsidP="0007678E">
      <w:pPr>
        <w:spacing w:before="100" w:beforeAutospacing="1" w:after="240" w:line="240" w:lineRule="auto"/>
        <w:jc w:val="both"/>
        <w:rPr>
          <w:b/>
          <w:color w:val="FF0000"/>
          <w:sz w:val="36"/>
          <w:szCs w:val="36"/>
        </w:rPr>
      </w:pPr>
      <w:r>
        <w:rPr>
          <w:b/>
          <w:color w:val="FF0000"/>
          <w:sz w:val="36"/>
          <w:szCs w:val="36"/>
        </w:rPr>
        <w:t xml:space="preserve">Révision des </w:t>
      </w:r>
      <w:r w:rsidRPr="00F3601D">
        <w:rPr>
          <w:b/>
          <w:color w:val="FF0000"/>
          <w:sz w:val="36"/>
          <w:szCs w:val="36"/>
        </w:rPr>
        <w:t>MTD</w:t>
      </w:r>
      <w:r>
        <w:rPr>
          <w:b/>
          <w:color w:val="FF0000"/>
          <w:sz w:val="36"/>
          <w:szCs w:val="36"/>
        </w:rPr>
        <w:t xml:space="preserve"> et BATAEL</w:t>
      </w:r>
    </w:p>
    <w:p w:rsidR="0007678E" w:rsidRPr="0007678E" w:rsidRDefault="0007678E" w:rsidP="0007678E">
      <w:pPr>
        <w:jc w:val="both"/>
        <w:rPr>
          <w:rStyle w:val="Lienhypertexte"/>
          <w:b/>
          <w:i/>
          <w:color w:val="FF0000"/>
          <w:u w:val="none"/>
        </w:rPr>
      </w:pPr>
      <w:r w:rsidRPr="0007678E">
        <w:rPr>
          <w:b/>
          <w:color w:val="FF0000"/>
        </w:rPr>
        <w:t xml:space="preserve">Les conséquences sont lourdes pour les installations concernées, puisque l’actualisation de l’arrêté préfectoral, et la mise en conformité des installations avec ses dispositions, doivent être réalisées dans un délai de 4 ans à compter de la parution des conclusions sur les MTD correspondant à la rubrique principale de l’établissement. </w:t>
      </w:r>
    </w:p>
    <w:p w:rsidR="00117874" w:rsidRDefault="0007678E" w:rsidP="00117874">
      <w:r>
        <w:t>R</w:t>
      </w:r>
      <w:r w:rsidR="00117874">
        <w:t xml:space="preserve">évision </w:t>
      </w:r>
      <w:r>
        <w:t>en cours</w:t>
      </w:r>
      <w:r w:rsidR="00117874">
        <w:t xml:space="preserve"> :</w:t>
      </w:r>
    </w:p>
    <w:tbl>
      <w:tblPr>
        <w:tblW w:w="9192"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5729"/>
        <w:gridCol w:w="3463"/>
      </w:tblGrid>
      <w:tr w:rsidR="00F068D9" w:rsidRPr="00F068D9" w:rsidTr="00F068D9">
        <w:trPr>
          <w:trHeight w:val="275"/>
        </w:trPr>
        <w:tc>
          <w:tcPr>
            <w:tcW w:w="5729" w:type="dxa"/>
            <w:shd w:val="clear" w:color="auto" w:fill="4F81BD"/>
          </w:tcPr>
          <w:p w:rsidR="00F068D9" w:rsidRPr="00F068D9" w:rsidRDefault="00F068D9" w:rsidP="00F068D9">
            <w:pPr>
              <w:spacing w:after="0" w:line="23" w:lineRule="atLeast"/>
              <w:jc w:val="center"/>
              <w:rPr>
                <w:rFonts w:ascii="Calibri" w:eastAsia="Times New Roman" w:hAnsi="Calibri" w:cs="Tahoma"/>
                <w:b/>
                <w:bCs/>
                <w:color w:val="FFFFFF"/>
                <w:sz w:val="20"/>
                <w:szCs w:val="20"/>
                <w:lang w:eastAsia="fr-FR"/>
              </w:rPr>
            </w:pPr>
            <w:r w:rsidRPr="00F068D9">
              <w:rPr>
                <w:rFonts w:ascii="Calibri" w:eastAsia="Times New Roman" w:hAnsi="Calibri" w:cs="Tahoma"/>
                <w:b/>
                <w:bCs/>
                <w:color w:val="FFFFFF"/>
                <w:sz w:val="20"/>
                <w:szCs w:val="20"/>
                <w:lang w:eastAsia="fr-FR"/>
              </w:rPr>
              <w:t>BREF</w:t>
            </w:r>
          </w:p>
        </w:tc>
        <w:tc>
          <w:tcPr>
            <w:tcW w:w="3463" w:type="dxa"/>
            <w:shd w:val="clear" w:color="auto" w:fill="4F81BD"/>
          </w:tcPr>
          <w:p w:rsidR="00F068D9" w:rsidRPr="00F068D9" w:rsidRDefault="00F068D9" w:rsidP="00F068D9">
            <w:pPr>
              <w:spacing w:after="0" w:line="23" w:lineRule="atLeast"/>
              <w:jc w:val="center"/>
              <w:rPr>
                <w:rFonts w:ascii="Calibri" w:eastAsia="Times New Roman" w:hAnsi="Calibri" w:cs="Tahoma"/>
                <w:b/>
                <w:bCs/>
                <w:color w:val="FFFFFF"/>
                <w:sz w:val="20"/>
                <w:szCs w:val="20"/>
                <w:lang w:eastAsia="fr-FR"/>
              </w:rPr>
            </w:pPr>
            <w:r w:rsidRPr="00F068D9">
              <w:rPr>
                <w:rFonts w:ascii="Calibri" w:eastAsia="Times New Roman" w:hAnsi="Calibri" w:cs="Tahoma"/>
                <w:b/>
                <w:bCs/>
                <w:color w:val="FFFFFF"/>
                <w:sz w:val="20"/>
                <w:szCs w:val="20"/>
                <w:lang w:eastAsia="fr-FR"/>
              </w:rPr>
              <w:t>Etat d’avancement</w:t>
            </w:r>
          </w:p>
        </w:tc>
      </w:tr>
      <w:tr w:rsidR="00F068D9" w:rsidRPr="00F068D9" w:rsidTr="00F068D9">
        <w:trPr>
          <w:trHeight w:val="259"/>
        </w:trPr>
        <w:tc>
          <w:tcPr>
            <w:tcW w:w="5729" w:type="dxa"/>
            <w:tcBorders>
              <w:top w:val="single" w:sz="8" w:space="0" w:color="4F81BD"/>
              <w:left w:val="single" w:sz="8" w:space="0" w:color="4F81BD"/>
              <w:bottom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LVOC : chimie organique à grande échelle</w:t>
            </w:r>
          </w:p>
        </w:tc>
        <w:tc>
          <w:tcPr>
            <w:tcW w:w="3463" w:type="dxa"/>
            <w:tcBorders>
              <w:top w:val="single" w:sz="8" w:space="0" w:color="4F81BD"/>
              <w:bottom w:val="single" w:sz="8" w:space="0" w:color="4F81BD"/>
              <w:right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Vote final à venir</w:t>
            </w:r>
          </w:p>
        </w:tc>
      </w:tr>
      <w:tr w:rsidR="00F068D9" w:rsidRPr="00F068D9" w:rsidTr="00F068D9">
        <w:trPr>
          <w:trHeight w:val="534"/>
        </w:trPr>
        <w:tc>
          <w:tcPr>
            <w:tcW w:w="5729" w:type="dxa"/>
            <w:shd w:val="clear" w:color="auto" w:fill="auto"/>
          </w:tcPr>
          <w:p w:rsidR="00F068D9" w:rsidRPr="00F068D9" w:rsidRDefault="00F068D9" w:rsidP="00F068D9">
            <w:pPr>
              <w:spacing w:after="0" w:line="23" w:lineRule="atLeast"/>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WT : traitement des déchets</w:t>
            </w:r>
          </w:p>
        </w:tc>
        <w:tc>
          <w:tcPr>
            <w:tcW w:w="3463" w:type="dxa"/>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Présentation du projet final en octobre 2017</w:t>
            </w:r>
          </w:p>
        </w:tc>
      </w:tr>
      <w:tr w:rsidR="00F068D9" w:rsidRPr="00F068D9" w:rsidTr="00F068D9">
        <w:trPr>
          <w:trHeight w:val="534"/>
        </w:trPr>
        <w:tc>
          <w:tcPr>
            <w:tcW w:w="5729" w:type="dxa"/>
            <w:tcBorders>
              <w:top w:val="single" w:sz="8" w:space="0" w:color="4F81BD"/>
              <w:left w:val="single" w:sz="8" w:space="0" w:color="4F81BD"/>
              <w:bottom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FDM : agroalimentaire</w:t>
            </w:r>
          </w:p>
        </w:tc>
        <w:tc>
          <w:tcPr>
            <w:tcW w:w="3463" w:type="dxa"/>
            <w:tcBorders>
              <w:top w:val="single" w:sz="8" w:space="0" w:color="4F81BD"/>
              <w:bottom w:val="single" w:sz="8" w:space="0" w:color="4F81BD"/>
              <w:right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Commentaires sur le 1</w:t>
            </w:r>
            <w:r w:rsidRPr="00F068D9">
              <w:rPr>
                <w:rFonts w:ascii="Calibri" w:eastAsia="Times New Roman" w:hAnsi="Calibri" w:cs="Tahoma"/>
                <w:sz w:val="20"/>
                <w:szCs w:val="20"/>
                <w:vertAlign w:val="superscript"/>
                <w:lang w:eastAsia="fr-FR"/>
              </w:rPr>
              <w:t>er</w:t>
            </w:r>
            <w:r w:rsidRPr="00F068D9">
              <w:rPr>
                <w:rFonts w:ascii="Calibri" w:eastAsia="Times New Roman" w:hAnsi="Calibri" w:cs="Tahoma"/>
                <w:sz w:val="20"/>
                <w:szCs w:val="20"/>
                <w:lang w:eastAsia="fr-FR"/>
              </w:rPr>
              <w:t xml:space="preserve"> projet reçus</w:t>
            </w:r>
          </w:p>
        </w:tc>
      </w:tr>
      <w:tr w:rsidR="00F068D9" w:rsidRPr="00F068D9" w:rsidTr="00F068D9">
        <w:trPr>
          <w:trHeight w:val="534"/>
        </w:trPr>
        <w:tc>
          <w:tcPr>
            <w:tcW w:w="5729" w:type="dxa"/>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WI : incinération des déchets</w:t>
            </w:r>
          </w:p>
        </w:tc>
        <w:tc>
          <w:tcPr>
            <w:tcW w:w="3463" w:type="dxa"/>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Commentaires sur le 1</w:t>
            </w:r>
            <w:r w:rsidRPr="00F068D9">
              <w:rPr>
                <w:rFonts w:ascii="Calibri" w:eastAsia="Times New Roman" w:hAnsi="Calibri" w:cs="Tahoma"/>
                <w:sz w:val="20"/>
                <w:szCs w:val="20"/>
                <w:vertAlign w:val="superscript"/>
                <w:lang w:eastAsia="fr-FR"/>
              </w:rPr>
              <w:t>er</w:t>
            </w:r>
            <w:r w:rsidRPr="00F068D9">
              <w:rPr>
                <w:rFonts w:ascii="Calibri" w:eastAsia="Times New Roman" w:hAnsi="Calibri" w:cs="Tahoma"/>
                <w:sz w:val="20"/>
                <w:szCs w:val="20"/>
                <w:lang w:eastAsia="fr-FR"/>
              </w:rPr>
              <w:t xml:space="preserve"> projet attendus</w:t>
            </w:r>
          </w:p>
        </w:tc>
      </w:tr>
      <w:tr w:rsidR="00F068D9" w:rsidRPr="00F068D9" w:rsidTr="00F068D9">
        <w:trPr>
          <w:trHeight w:val="534"/>
        </w:trPr>
        <w:tc>
          <w:tcPr>
            <w:tcW w:w="5729" w:type="dxa"/>
            <w:tcBorders>
              <w:top w:val="single" w:sz="8" w:space="0" w:color="4F81BD"/>
              <w:left w:val="single" w:sz="8" w:space="0" w:color="4F81BD"/>
              <w:bottom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STS : traitement de surface utilisant des solvants</w:t>
            </w:r>
          </w:p>
        </w:tc>
        <w:tc>
          <w:tcPr>
            <w:tcW w:w="3463" w:type="dxa"/>
            <w:tcBorders>
              <w:top w:val="single" w:sz="8" w:space="0" w:color="4F81BD"/>
              <w:bottom w:val="single" w:sz="8" w:space="0" w:color="4F81BD"/>
              <w:right w:val="single" w:sz="8" w:space="0" w:color="4F81BD"/>
            </w:tcBorders>
            <w:shd w:val="clear" w:color="auto" w:fill="auto"/>
          </w:tcPr>
          <w:p w:rsidR="00F068D9" w:rsidRPr="00F068D9" w:rsidRDefault="00F068D9" w:rsidP="00F068D9">
            <w:pPr>
              <w:spacing w:after="0" w:line="23" w:lineRule="atLeast"/>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Présentation du 1</w:t>
            </w:r>
            <w:r w:rsidRPr="00F068D9">
              <w:rPr>
                <w:rFonts w:ascii="Calibri" w:eastAsia="Times New Roman" w:hAnsi="Calibri" w:cs="Tahoma"/>
                <w:sz w:val="20"/>
                <w:szCs w:val="20"/>
                <w:vertAlign w:val="superscript"/>
                <w:lang w:eastAsia="fr-FR"/>
              </w:rPr>
              <w:t>er</w:t>
            </w:r>
            <w:r w:rsidRPr="00F068D9">
              <w:rPr>
                <w:rFonts w:ascii="Calibri" w:eastAsia="Times New Roman" w:hAnsi="Calibri" w:cs="Tahoma"/>
                <w:sz w:val="20"/>
                <w:szCs w:val="20"/>
                <w:lang w:eastAsia="fr-FR"/>
              </w:rPr>
              <w:t xml:space="preserve"> projet en octobre 2017</w:t>
            </w:r>
          </w:p>
        </w:tc>
      </w:tr>
      <w:tr w:rsidR="00F068D9" w:rsidRPr="00F068D9" w:rsidTr="00F068D9">
        <w:trPr>
          <w:trHeight w:val="259"/>
        </w:trPr>
        <w:tc>
          <w:tcPr>
            <w:tcW w:w="5729" w:type="dxa"/>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FMP : transformation des métaux ferreux</w:t>
            </w:r>
          </w:p>
        </w:tc>
        <w:tc>
          <w:tcPr>
            <w:tcW w:w="3463" w:type="dxa"/>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Questionnaire en préparation</w:t>
            </w:r>
          </w:p>
        </w:tc>
      </w:tr>
      <w:tr w:rsidR="00F068D9" w:rsidRPr="00F068D9" w:rsidTr="00F068D9">
        <w:trPr>
          <w:trHeight w:val="275"/>
        </w:trPr>
        <w:tc>
          <w:tcPr>
            <w:tcW w:w="5729" w:type="dxa"/>
            <w:tcBorders>
              <w:top w:val="single" w:sz="8" w:space="0" w:color="4F81BD"/>
              <w:left w:val="single" w:sz="8" w:space="0" w:color="4F81BD"/>
              <w:bottom w:val="single" w:sz="8" w:space="0" w:color="4F81BD"/>
            </w:tcBorders>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WGC : effluents gazeux de l’industrie chimique</w:t>
            </w:r>
          </w:p>
        </w:tc>
        <w:tc>
          <w:tcPr>
            <w:tcW w:w="3463" w:type="dxa"/>
            <w:tcBorders>
              <w:top w:val="single" w:sz="8" w:space="0" w:color="4F81BD"/>
              <w:bottom w:val="single" w:sz="8" w:space="0" w:color="4F81BD"/>
              <w:right w:val="single" w:sz="8" w:space="0" w:color="4F81BD"/>
            </w:tcBorders>
            <w:shd w:val="clear" w:color="auto" w:fill="auto"/>
          </w:tcPr>
          <w:p w:rsidR="00F068D9" w:rsidRPr="00F068D9" w:rsidRDefault="00F068D9" w:rsidP="00F068D9">
            <w:pPr>
              <w:spacing w:after="0" w:line="23" w:lineRule="atLeast"/>
              <w:rPr>
                <w:rFonts w:ascii="Calibri" w:eastAsia="Times New Roman" w:hAnsi="Calibri" w:cs="Tahoma"/>
                <w:sz w:val="20"/>
                <w:szCs w:val="20"/>
                <w:lang w:eastAsia="fr-FR"/>
              </w:rPr>
            </w:pPr>
            <w:r w:rsidRPr="00F068D9">
              <w:rPr>
                <w:rFonts w:ascii="Calibri" w:eastAsia="Times New Roman" w:hAnsi="Calibri" w:cs="Tahoma"/>
                <w:sz w:val="20"/>
                <w:szCs w:val="20"/>
                <w:lang w:eastAsia="fr-FR"/>
              </w:rPr>
              <w:t>Rédaction en cours</w:t>
            </w:r>
          </w:p>
        </w:tc>
      </w:tr>
      <w:tr w:rsidR="00F068D9" w:rsidRPr="00F068D9" w:rsidTr="00F068D9">
        <w:trPr>
          <w:trHeight w:val="275"/>
        </w:trPr>
        <w:tc>
          <w:tcPr>
            <w:tcW w:w="5729" w:type="dxa"/>
            <w:shd w:val="clear" w:color="auto" w:fill="auto"/>
          </w:tcPr>
          <w:p w:rsidR="00F068D9" w:rsidRPr="00F068D9" w:rsidRDefault="00F068D9" w:rsidP="00F068D9">
            <w:pPr>
              <w:spacing w:after="0" w:line="23" w:lineRule="atLeast"/>
              <w:jc w:val="both"/>
              <w:rPr>
                <w:rFonts w:ascii="Calibri" w:eastAsia="Times New Roman" w:hAnsi="Calibri" w:cs="Tahoma"/>
                <w:b/>
                <w:bCs/>
                <w:sz w:val="20"/>
                <w:szCs w:val="20"/>
                <w:lang w:eastAsia="fr-FR"/>
              </w:rPr>
            </w:pPr>
            <w:r w:rsidRPr="00F068D9">
              <w:rPr>
                <w:rFonts w:ascii="Calibri" w:eastAsia="Times New Roman" w:hAnsi="Calibri" w:cs="Tahoma"/>
                <w:b/>
                <w:bCs/>
                <w:sz w:val="20"/>
                <w:szCs w:val="20"/>
                <w:lang w:eastAsia="fr-FR"/>
              </w:rPr>
              <w:t>TXT : textile</w:t>
            </w:r>
          </w:p>
        </w:tc>
        <w:tc>
          <w:tcPr>
            <w:tcW w:w="3463" w:type="dxa"/>
            <w:shd w:val="clear" w:color="auto" w:fill="auto"/>
          </w:tcPr>
          <w:p w:rsidR="00F068D9" w:rsidRPr="00F068D9" w:rsidRDefault="00F068D9" w:rsidP="00F068D9">
            <w:pPr>
              <w:spacing w:after="0" w:line="23" w:lineRule="atLeast"/>
              <w:jc w:val="both"/>
              <w:rPr>
                <w:rFonts w:ascii="Calibri" w:eastAsia="Times New Roman" w:hAnsi="Calibri" w:cs="Tahoma"/>
                <w:sz w:val="20"/>
                <w:szCs w:val="20"/>
                <w:highlight w:val="yellow"/>
                <w:lang w:eastAsia="fr-FR"/>
              </w:rPr>
            </w:pPr>
            <w:r w:rsidRPr="00F068D9">
              <w:rPr>
                <w:rFonts w:ascii="Calibri" w:eastAsia="Times New Roman" w:hAnsi="Calibri" w:cs="Tahoma"/>
                <w:sz w:val="20"/>
                <w:szCs w:val="20"/>
                <w:lang w:eastAsia="fr-FR"/>
              </w:rPr>
              <w:t>Groupe de travail démarré</w:t>
            </w:r>
          </w:p>
        </w:tc>
      </w:tr>
    </w:tbl>
    <w:p w:rsidR="00F068D9" w:rsidRDefault="00F068D9" w:rsidP="00117874"/>
    <w:p w:rsidR="00D4344F" w:rsidRDefault="00D4344F" w:rsidP="00D4344F">
      <w:pPr>
        <w:spacing w:before="100" w:beforeAutospacing="1" w:after="240" w:line="240" w:lineRule="auto"/>
        <w:jc w:val="both"/>
        <w:rPr>
          <w:b/>
          <w:color w:val="FF0000"/>
          <w:sz w:val="36"/>
          <w:szCs w:val="36"/>
        </w:rPr>
      </w:pPr>
      <w:r>
        <w:rPr>
          <w:b/>
          <w:color w:val="FF0000"/>
          <w:sz w:val="36"/>
          <w:szCs w:val="36"/>
        </w:rPr>
        <w:t xml:space="preserve">Autorisations d’exploiter  </w:t>
      </w:r>
    </w:p>
    <w:p w:rsidR="00580750" w:rsidRDefault="00580750" w:rsidP="00AC5B65">
      <w:pPr>
        <w:jc w:val="both"/>
        <w:rPr>
          <w:rStyle w:val="Lienhypertexte"/>
          <w:color w:val="auto"/>
          <w:u w:val="none"/>
        </w:rPr>
      </w:pPr>
      <w:r>
        <w:rPr>
          <w:rFonts w:ascii="Arial" w:hAnsi="Arial" w:cs="Arial"/>
          <w:noProof/>
          <w:sz w:val="20"/>
          <w:szCs w:val="20"/>
          <w:lang w:eastAsia="fr-FR"/>
        </w:rPr>
        <mc:AlternateContent>
          <mc:Choice Requires="wps">
            <w:drawing>
              <wp:anchor distT="0" distB="0" distL="114300" distR="114300" simplePos="0" relativeHeight="251663360" behindDoc="0" locked="0" layoutInCell="1" allowOverlap="1" wp14:anchorId="72C13B6F" wp14:editId="7A120F5A">
                <wp:simplePos x="0" y="0"/>
                <wp:positionH relativeFrom="column">
                  <wp:posOffset>1376680</wp:posOffset>
                </wp:positionH>
                <wp:positionV relativeFrom="paragraph">
                  <wp:posOffset>6985</wp:posOffset>
                </wp:positionV>
                <wp:extent cx="4352925" cy="523875"/>
                <wp:effectExtent l="0" t="0" r="28575" b="28575"/>
                <wp:wrapNone/>
                <wp:docPr id="7" name="Zone de texte 7"/>
                <wp:cNvGraphicFramePr/>
                <a:graphic xmlns:a="http://schemas.openxmlformats.org/drawingml/2006/main">
                  <a:graphicData uri="http://schemas.microsoft.com/office/word/2010/wordprocessingShape">
                    <wps:wsp>
                      <wps:cNvSpPr txBox="1"/>
                      <wps:spPr>
                        <a:xfrm>
                          <a:off x="0" y="0"/>
                          <a:ext cx="4352925"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80750" w:rsidRDefault="00580750" w:rsidP="00580750">
                            <w:pPr>
                              <w:jc w:val="both"/>
                              <w:rPr>
                                <w:rStyle w:val="Lienhypertexte"/>
                                <w:color w:val="auto"/>
                                <w:u w:val="none"/>
                              </w:rPr>
                            </w:pPr>
                            <w:r>
                              <w:rPr>
                                <w:rStyle w:val="Lienhypertexte"/>
                                <w:color w:val="auto"/>
                                <w:u w:val="none"/>
                              </w:rPr>
                              <w:t>L</w:t>
                            </w:r>
                            <w:r w:rsidRPr="00AD6AA6">
                              <w:rPr>
                                <w:rStyle w:val="Lienhypertexte"/>
                                <w:color w:val="auto"/>
                                <w:u w:val="none"/>
                              </w:rPr>
                              <w:t>es autorisation</w:t>
                            </w:r>
                            <w:r>
                              <w:rPr>
                                <w:rStyle w:val="Lienhypertexte"/>
                                <w:color w:val="auto"/>
                                <w:u w:val="none"/>
                              </w:rPr>
                              <w:t>s d’exploiter</w:t>
                            </w:r>
                            <w:r w:rsidRPr="00AD6AA6">
                              <w:rPr>
                                <w:rStyle w:val="Lienhypertexte"/>
                                <w:color w:val="auto"/>
                                <w:u w:val="none"/>
                              </w:rPr>
                              <w:t xml:space="preserve"> des ICPE </w:t>
                            </w:r>
                            <w:r>
                              <w:rPr>
                                <w:rStyle w:val="Lienhypertexte"/>
                                <w:color w:val="auto"/>
                                <w:u w:val="none"/>
                              </w:rPr>
                              <w:t xml:space="preserve">(arrêtés préfectoraux) </w:t>
                            </w:r>
                            <w:r w:rsidRPr="00AD6AA6">
                              <w:rPr>
                                <w:rStyle w:val="Lienhypertexte"/>
                                <w:color w:val="auto"/>
                                <w:u w:val="none"/>
                              </w:rPr>
                              <w:t>s</w:t>
                            </w:r>
                            <w:r>
                              <w:rPr>
                                <w:rStyle w:val="Lienhypertexte"/>
                                <w:color w:val="auto"/>
                                <w:u w:val="none"/>
                              </w:rPr>
                              <w:t>e</w:t>
                            </w:r>
                            <w:r w:rsidRPr="00AD6AA6">
                              <w:rPr>
                                <w:rStyle w:val="Lienhypertexte"/>
                                <w:color w:val="auto"/>
                                <w:u w:val="none"/>
                              </w:rPr>
                              <w:t xml:space="preserve"> fond</w:t>
                            </w:r>
                            <w:r>
                              <w:rPr>
                                <w:rStyle w:val="Lienhypertexte"/>
                                <w:color w:val="auto"/>
                                <w:u w:val="none"/>
                              </w:rPr>
                              <w:t>ent</w:t>
                            </w:r>
                            <w:r w:rsidRPr="00AD6AA6">
                              <w:rPr>
                                <w:rStyle w:val="Lienhypertexte"/>
                                <w:color w:val="auto"/>
                                <w:u w:val="none"/>
                              </w:rPr>
                              <w:t xml:space="preserve"> sur les </w:t>
                            </w:r>
                            <w:r>
                              <w:rPr>
                                <w:rStyle w:val="Lienhypertexte"/>
                                <w:color w:val="auto"/>
                                <w:u w:val="none"/>
                              </w:rPr>
                              <w:t xml:space="preserve">conclusions sur les MTD, ou, à défaut, sur les BREF existants. </w:t>
                            </w:r>
                          </w:p>
                          <w:p w:rsidR="00580750" w:rsidRDefault="005807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13B6F" id="Zone de texte 7" o:spid="_x0000_s1029" type="#_x0000_t202" style="position:absolute;left:0;text-align:left;margin-left:108.4pt;margin-top:.55pt;width:342.7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" fillcolor="white [3201]" strokeweight=".5pt">
                <v:textbox>
                  <w:txbxContent>
                    <w:p w:rsidR="00580750" w:rsidRDefault="00580750" w:rsidP="00580750">
                      <w:pPr>
                        <w:jc w:val="both"/>
                        <w:rPr>
                          <w:rStyle w:val="Lienhypertexte"/>
                          <w:color w:val="auto"/>
                          <w:u w:val="none"/>
                        </w:rPr>
                      </w:pPr>
                      <w:r>
                        <w:rPr>
                          <w:rStyle w:val="Lienhypertexte"/>
                          <w:color w:val="auto"/>
                          <w:u w:val="none"/>
                        </w:rPr>
                        <w:t>L</w:t>
                      </w:r>
                      <w:r w:rsidRPr="00AD6AA6">
                        <w:rPr>
                          <w:rStyle w:val="Lienhypertexte"/>
                          <w:color w:val="auto"/>
                          <w:u w:val="none"/>
                        </w:rPr>
                        <w:t>es autorisation</w:t>
                      </w:r>
                      <w:r>
                        <w:rPr>
                          <w:rStyle w:val="Lienhypertexte"/>
                          <w:color w:val="auto"/>
                          <w:u w:val="none"/>
                        </w:rPr>
                        <w:t>s d’exploiter</w:t>
                      </w:r>
                      <w:r w:rsidRPr="00AD6AA6">
                        <w:rPr>
                          <w:rStyle w:val="Lienhypertexte"/>
                          <w:color w:val="auto"/>
                          <w:u w:val="none"/>
                        </w:rPr>
                        <w:t xml:space="preserve"> des ICPE </w:t>
                      </w:r>
                      <w:r>
                        <w:rPr>
                          <w:rStyle w:val="Lienhypertexte"/>
                          <w:color w:val="auto"/>
                          <w:u w:val="none"/>
                        </w:rPr>
                        <w:t xml:space="preserve">(arrêtés préfectoraux) </w:t>
                      </w:r>
                      <w:r w:rsidRPr="00AD6AA6">
                        <w:rPr>
                          <w:rStyle w:val="Lienhypertexte"/>
                          <w:color w:val="auto"/>
                          <w:u w:val="none"/>
                        </w:rPr>
                        <w:t>s</w:t>
                      </w:r>
                      <w:r>
                        <w:rPr>
                          <w:rStyle w:val="Lienhypertexte"/>
                          <w:color w:val="auto"/>
                          <w:u w:val="none"/>
                        </w:rPr>
                        <w:t>e</w:t>
                      </w:r>
                      <w:r w:rsidRPr="00AD6AA6">
                        <w:rPr>
                          <w:rStyle w:val="Lienhypertexte"/>
                          <w:color w:val="auto"/>
                          <w:u w:val="none"/>
                        </w:rPr>
                        <w:t xml:space="preserve"> fond</w:t>
                      </w:r>
                      <w:r>
                        <w:rPr>
                          <w:rStyle w:val="Lienhypertexte"/>
                          <w:color w:val="auto"/>
                          <w:u w:val="none"/>
                        </w:rPr>
                        <w:t>ent</w:t>
                      </w:r>
                      <w:r w:rsidRPr="00AD6AA6">
                        <w:rPr>
                          <w:rStyle w:val="Lienhypertexte"/>
                          <w:color w:val="auto"/>
                          <w:u w:val="none"/>
                        </w:rPr>
                        <w:t xml:space="preserve"> sur les </w:t>
                      </w:r>
                      <w:r>
                        <w:rPr>
                          <w:rStyle w:val="Lienhypertexte"/>
                          <w:color w:val="auto"/>
                          <w:u w:val="none"/>
                        </w:rPr>
                        <w:t xml:space="preserve">conclusions sur les MTD, ou, à défaut, sur les BREF existants. </w:t>
                      </w:r>
                    </w:p>
                    <w:p w:rsidR="00580750" w:rsidRDefault="00580750"/>
                  </w:txbxContent>
                </v:textbox>
              </v:shape>
            </w:pict>
          </mc:Fallback>
        </mc:AlternateContent>
      </w:r>
      <w:r>
        <w:rPr>
          <w:rFonts w:ascii="Arial" w:hAnsi="Arial" w:cs="Arial"/>
          <w:noProof/>
          <w:sz w:val="20"/>
          <w:szCs w:val="20"/>
          <w:lang w:eastAsia="fr-FR"/>
        </w:rPr>
        <w:drawing>
          <wp:inline distT="0" distB="0" distL="0" distR="0">
            <wp:extent cx="1164167" cy="714375"/>
            <wp:effectExtent l="0" t="0" r="0" b="0"/>
            <wp:docPr id="6" name="Image 6" descr="http://guards-conseil.cog.groupeherve.com/wp-content/uploads/2014/10/icpe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guards-conseil.cog.groupeherve.com/wp-content/uploads/2014/10/icpe_logo.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4052" cy="720441"/>
                    </a:xfrm>
                    <a:prstGeom prst="rect">
                      <a:avLst/>
                    </a:prstGeom>
                    <a:noFill/>
                    <a:ln>
                      <a:noFill/>
                    </a:ln>
                  </pic:spPr>
                </pic:pic>
              </a:graphicData>
            </a:graphic>
          </wp:inline>
        </w:drawing>
      </w:r>
    </w:p>
    <w:p w:rsidR="00591830" w:rsidRDefault="00591830" w:rsidP="00AC5B65">
      <w:pPr>
        <w:jc w:val="both"/>
        <w:rPr>
          <w:rStyle w:val="Lienhypertexte"/>
          <w:color w:val="auto"/>
          <w:u w:val="none"/>
        </w:rPr>
      </w:pPr>
    </w:p>
    <w:p w:rsidR="00667DEC" w:rsidRPr="00667DEC" w:rsidRDefault="00667DEC" w:rsidP="00667DEC">
      <w:pPr>
        <w:keepNext/>
        <w:framePr w:dropCap="drop" w:lines="3" w:wrap="around" w:vAnchor="text" w:hAnchor="text"/>
        <w:spacing w:after="0" w:line="869" w:lineRule="exact"/>
        <w:jc w:val="both"/>
        <w:textAlignment w:val="baseline"/>
        <w:rPr>
          <w:rStyle w:val="Lienhypertexte"/>
          <w:bCs/>
          <w:color w:val="auto"/>
          <w:position w:val="-9"/>
          <w:sz w:val="117"/>
          <w:u w:val="none"/>
        </w:rPr>
      </w:pPr>
      <w:r w:rsidRPr="00667DEC">
        <w:rPr>
          <w:rStyle w:val="Lienhypertexte"/>
          <w:bCs/>
          <w:color w:val="auto"/>
          <w:position w:val="-9"/>
          <w:sz w:val="117"/>
          <w:u w:val="none"/>
        </w:rPr>
        <w:t>P</w:t>
      </w:r>
    </w:p>
    <w:p w:rsidR="00AC5B65" w:rsidRDefault="00A21EE9" w:rsidP="00AC5B65">
      <w:pPr>
        <w:jc w:val="both"/>
        <w:rPr>
          <w:rStyle w:val="Lienhypertexte"/>
          <w:bCs/>
          <w:color w:val="auto"/>
          <w:u w:val="none"/>
        </w:rPr>
      </w:pPr>
      <w:r>
        <w:rPr>
          <w:rStyle w:val="Lienhypertexte"/>
          <w:bCs/>
          <w:color w:val="auto"/>
          <w:u w:val="none"/>
        </w:rPr>
        <w:t>our une installation classée, les arrêtés préfectoraux d’autorisation doivent prendre en compte « le fonctionnement de l’installation classée en comparaison avec les MTD telles qu’elles ressortent des Conclusions ». En clair, les arrêtés déterminent</w:t>
      </w:r>
      <w:r w:rsidR="000A535E">
        <w:rPr>
          <w:rStyle w:val="Lienhypertexte"/>
          <w:bCs/>
          <w:color w:val="auto"/>
          <w:u w:val="none"/>
        </w:rPr>
        <w:t xml:space="preserve">, entre autres, </w:t>
      </w:r>
      <w:r w:rsidR="00D4344F" w:rsidRPr="00D4344F">
        <w:rPr>
          <w:rStyle w:val="Lienhypertexte"/>
          <w:bCs/>
          <w:color w:val="auto"/>
          <w:u w:val="none"/>
        </w:rPr>
        <w:t>les valeurs limites d’émission (VLE)</w:t>
      </w:r>
      <w:r w:rsidR="00D4344F">
        <w:rPr>
          <w:rStyle w:val="Lienhypertexte"/>
          <w:bCs/>
          <w:color w:val="auto"/>
          <w:u w:val="none"/>
        </w:rPr>
        <w:t xml:space="preserve">, les niveaux d’émission associés aux MTD étant définis dans les </w:t>
      </w:r>
      <w:r w:rsidR="00D92F8D">
        <w:rPr>
          <w:rStyle w:val="Lienhypertexte"/>
          <w:bCs/>
          <w:color w:val="auto"/>
          <w:u w:val="none"/>
        </w:rPr>
        <w:t>« </w:t>
      </w:r>
      <w:r w:rsidR="00D4344F">
        <w:rPr>
          <w:rStyle w:val="Lienhypertexte"/>
          <w:bCs/>
          <w:color w:val="auto"/>
          <w:u w:val="none"/>
        </w:rPr>
        <w:t>conclusions sur les MTD</w:t>
      </w:r>
      <w:r w:rsidR="00D92F8D">
        <w:rPr>
          <w:rStyle w:val="Lienhypertexte"/>
          <w:bCs/>
          <w:color w:val="auto"/>
          <w:u w:val="none"/>
        </w:rPr>
        <w:t> »</w:t>
      </w:r>
      <w:r w:rsidR="00D4344F">
        <w:rPr>
          <w:rStyle w:val="Lienhypertexte"/>
          <w:bCs/>
          <w:color w:val="auto"/>
          <w:u w:val="none"/>
        </w:rPr>
        <w:t xml:space="preserve">. </w:t>
      </w:r>
    </w:p>
    <w:p w:rsidR="008942B0" w:rsidRPr="008942B0" w:rsidRDefault="008942B0" w:rsidP="008942B0">
      <w:pPr>
        <w:ind w:left="1416"/>
        <w:jc w:val="both"/>
        <w:rPr>
          <w:rStyle w:val="Lienhypertexte"/>
          <w:bCs/>
          <w:color w:val="auto"/>
          <w:u w:val="none"/>
        </w:rPr>
      </w:pPr>
      <w:r w:rsidRPr="00263B93">
        <w:rPr>
          <w:b/>
          <w:noProof/>
          <w:lang w:eastAsia="fr-FR"/>
        </w:rPr>
        <mc:AlternateContent>
          <mc:Choice Requires="wps">
            <w:drawing>
              <wp:anchor distT="0" distB="0" distL="114300" distR="114300" simplePos="0" relativeHeight="251678720" behindDoc="0" locked="0" layoutInCell="1" allowOverlap="1" wp14:anchorId="43318DED" wp14:editId="5F1E8B06">
                <wp:simplePos x="0" y="0"/>
                <wp:positionH relativeFrom="column">
                  <wp:posOffset>0</wp:posOffset>
                </wp:positionH>
                <wp:positionV relativeFrom="paragraph">
                  <wp:posOffset>18415</wp:posOffset>
                </wp:positionV>
                <wp:extent cx="733425" cy="342900"/>
                <wp:effectExtent l="0" t="19050" r="47625" b="38100"/>
                <wp:wrapNone/>
                <wp:docPr id="4" name="Flèche droite 4"/>
                <wp:cNvGraphicFramePr/>
                <a:graphic xmlns:a="http://schemas.openxmlformats.org/drawingml/2006/main">
                  <a:graphicData uri="http://schemas.microsoft.com/office/word/2010/wordprocessingShape">
                    <wps:wsp>
                      <wps:cNvSpPr/>
                      <wps:spPr>
                        <a:xfrm>
                          <a:off x="0" y="0"/>
                          <a:ext cx="733425" cy="3429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0086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4" o:spid="_x0000_s1026" type="#_x0000_t13" style="position:absolute;margin-left:0;margin-top:1.45pt;width:57.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" adj="16551" fillcolor="#0070c0" strokecolor="#c45911 [2405]" strokeweight="1.5pt"/>
            </w:pict>
          </mc:Fallback>
        </mc:AlternateContent>
      </w:r>
      <w:r w:rsidRPr="008942B0">
        <w:rPr>
          <w:rStyle w:val="Lienhypertexte"/>
          <w:b/>
          <w:bCs/>
          <w:color w:val="auto"/>
          <w:u w:val="none"/>
        </w:rPr>
        <w:t>Dossier de réexamen</w:t>
      </w:r>
      <w:r>
        <w:rPr>
          <w:rStyle w:val="Lienhypertexte"/>
          <w:b/>
          <w:bCs/>
          <w:color w:val="auto"/>
          <w:u w:val="none"/>
        </w:rPr>
        <w:t xml:space="preserve"> : </w:t>
      </w:r>
      <w:r w:rsidRPr="008942B0">
        <w:rPr>
          <w:rStyle w:val="Lienhypertexte"/>
          <w:b/>
          <w:bCs/>
          <w:color w:val="auto"/>
          <w:u w:val="none"/>
        </w:rPr>
        <w:t xml:space="preserve">  </w:t>
      </w:r>
      <w:r w:rsidRPr="008942B0">
        <w:rPr>
          <w:rStyle w:val="Lienhypertexte"/>
          <w:bCs/>
          <w:color w:val="auto"/>
          <w:u w:val="none"/>
        </w:rPr>
        <w:t xml:space="preserve">l'exploitant doit adresser un dossier de réexamen au </w:t>
      </w:r>
      <w:r>
        <w:rPr>
          <w:rStyle w:val="Lienhypertexte"/>
          <w:bCs/>
          <w:color w:val="auto"/>
          <w:u w:val="none"/>
        </w:rPr>
        <w:t>P</w:t>
      </w:r>
      <w:r w:rsidRPr="008942B0">
        <w:rPr>
          <w:rStyle w:val="Lienhypertexte"/>
          <w:bCs/>
          <w:color w:val="auto"/>
          <w:u w:val="none"/>
        </w:rPr>
        <w:t xml:space="preserve">réfet dans les </w:t>
      </w:r>
      <w:r>
        <w:rPr>
          <w:rStyle w:val="Lienhypertexte"/>
          <w:bCs/>
          <w:color w:val="auto"/>
          <w:u w:val="none"/>
        </w:rPr>
        <w:t>12</w:t>
      </w:r>
      <w:r w:rsidRPr="008942B0">
        <w:rPr>
          <w:rStyle w:val="Lienhypertexte"/>
          <w:bCs/>
          <w:color w:val="auto"/>
          <w:u w:val="none"/>
        </w:rPr>
        <w:t xml:space="preserve"> mois qui suivent la date de publication de la décision concernant les conclusions sur les MTD de la rubrique principale de l'exploitation. Ce dossier, dont le contenu est fixé par l’art. R515-72 du code de l’environnement, doit notamment présenter une description du fonctionnement de l'installation</w:t>
      </w:r>
      <w:r>
        <w:rPr>
          <w:rStyle w:val="Lienhypertexte"/>
          <w:bCs/>
          <w:color w:val="auto"/>
          <w:u w:val="none"/>
        </w:rPr>
        <w:t>,</w:t>
      </w:r>
      <w:r w:rsidRPr="008942B0">
        <w:rPr>
          <w:rStyle w:val="Lienhypertexte"/>
          <w:bCs/>
          <w:color w:val="auto"/>
          <w:u w:val="none"/>
        </w:rPr>
        <w:t xml:space="preserve"> en comparaison avec les MTD</w:t>
      </w:r>
      <w:r>
        <w:rPr>
          <w:rStyle w:val="Lienhypertexte"/>
          <w:bCs/>
          <w:color w:val="auto"/>
          <w:u w:val="none"/>
        </w:rPr>
        <w:t>,</w:t>
      </w:r>
      <w:r w:rsidRPr="008942B0">
        <w:rPr>
          <w:rStyle w:val="Lienhypertexte"/>
          <w:bCs/>
          <w:color w:val="auto"/>
          <w:u w:val="none"/>
        </w:rPr>
        <w:t xml:space="preserve"> ainsi qu’un positionnement des niveaux des rejets par rapport aux BATAEL.</w:t>
      </w:r>
    </w:p>
    <w:p w:rsidR="008942B0" w:rsidRDefault="008942B0" w:rsidP="008942B0">
      <w:pPr>
        <w:pStyle w:val="ox-7ec3a8c54a-msonormal"/>
        <w:spacing w:before="0" w:beforeAutospacing="0" w:after="150" w:afterAutospacing="0"/>
        <w:rPr>
          <w:rStyle w:val="Lienhypertexte"/>
          <w:bCs/>
          <w:color w:val="auto"/>
          <w:u w:val="none"/>
        </w:rPr>
      </w:pPr>
      <w:r w:rsidRPr="008942B0">
        <w:rPr>
          <w:rFonts w:ascii="Calibri" w:hAnsi="Calibri" w:cs="Arial"/>
          <w:color w:val="1F497D"/>
          <w:sz w:val="22"/>
          <w:szCs w:val="22"/>
        </w:rPr>
        <w:t> </w:t>
      </w:r>
    </w:p>
    <w:p w:rsidR="00B40530" w:rsidRDefault="00437A91" w:rsidP="00B40530">
      <w:pPr>
        <w:ind w:left="1416"/>
        <w:jc w:val="both"/>
        <w:rPr>
          <w:rStyle w:val="Lienhypertexte"/>
          <w:bCs/>
          <w:color w:val="auto"/>
          <w:u w:val="none"/>
        </w:rPr>
      </w:pPr>
      <w:r w:rsidRPr="00263B93">
        <w:rPr>
          <w:b/>
          <w:noProof/>
          <w:lang w:eastAsia="fr-FR"/>
        </w:rPr>
        <w:lastRenderedPageBreak/>
        <mc:AlternateContent>
          <mc:Choice Requires="wps">
            <w:drawing>
              <wp:anchor distT="0" distB="0" distL="114300" distR="114300" simplePos="0" relativeHeight="251684864" behindDoc="0" locked="0" layoutInCell="1" allowOverlap="1" wp14:anchorId="0012B661" wp14:editId="68EB4788">
                <wp:simplePos x="0" y="0"/>
                <wp:positionH relativeFrom="column">
                  <wp:posOffset>-137795</wp:posOffset>
                </wp:positionH>
                <wp:positionV relativeFrom="paragraph">
                  <wp:posOffset>150495</wp:posOffset>
                </wp:positionV>
                <wp:extent cx="733425" cy="228600"/>
                <wp:effectExtent l="0" t="19050" r="47625" b="38100"/>
                <wp:wrapNone/>
                <wp:docPr id="18" name="Flèche droite 18"/>
                <wp:cNvGraphicFramePr/>
                <a:graphic xmlns:a="http://schemas.openxmlformats.org/drawingml/2006/main">
                  <a:graphicData uri="http://schemas.microsoft.com/office/word/2010/wordprocessingShape">
                    <wps:wsp>
                      <wps:cNvSpPr/>
                      <wps:spPr>
                        <a:xfrm>
                          <a:off x="0" y="0"/>
                          <a:ext cx="733425" cy="2286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379E8" id="Flèche droite 18" o:spid="_x0000_s1026" type="#_x0000_t13" style="position:absolute;margin-left:-10.85pt;margin-top:11.85pt;width:57.7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" adj="18234" fillcolor="#0070c0" strokecolor="#c45911 [2405]" strokeweight="1.5pt"/>
            </w:pict>
          </mc:Fallback>
        </mc:AlternateContent>
      </w:r>
      <w:r w:rsidR="006F3CFF">
        <w:rPr>
          <w:rStyle w:val="Lienhypertexte"/>
          <w:b/>
          <w:bCs/>
          <w:color w:val="auto"/>
          <w:u w:val="none"/>
        </w:rPr>
        <w:t>Mise en conformité : da</w:t>
      </w:r>
      <w:r w:rsidR="00B40530" w:rsidRPr="00263B93">
        <w:rPr>
          <w:rStyle w:val="Lienhypertexte"/>
          <w:b/>
          <w:bCs/>
          <w:color w:val="auto"/>
          <w:u w:val="none"/>
        </w:rPr>
        <w:t>ns un délai de 4 ans</w:t>
      </w:r>
      <w:r w:rsidR="00B40530">
        <w:rPr>
          <w:rStyle w:val="Lienhypertexte"/>
          <w:bCs/>
          <w:color w:val="auto"/>
          <w:u w:val="none"/>
        </w:rPr>
        <w:t xml:space="preserve"> à compter de la publication au JOUE des Conclusions MTD, les Valeurs Limite d’Emission (VLE) doivent être respectées par les installations concernées.</w:t>
      </w:r>
    </w:p>
    <w:p w:rsidR="00650E37" w:rsidRDefault="00437A91" w:rsidP="00650E37">
      <w:pPr>
        <w:ind w:left="1416"/>
        <w:jc w:val="both"/>
        <w:rPr>
          <w:rStyle w:val="Lienhypertexte"/>
          <w:bCs/>
          <w:color w:val="auto"/>
          <w:u w:val="none"/>
        </w:rPr>
      </w:pPr>
      <w:r w:rsidRPr="00263B93">
        <w:rPr>
          <w:b/>
          <w:noProof/>
          <w:lang w:eastAsia="fr-FR"/>
        </w:rPr>
        <mc:AlternateContent>
          <mc:Choice Requires="wps">
            <w:drawing>
              <wp:anchor distT="0" distB="0" distL="114300" distR="114300" simplePos="0" relativeHeight="251682816" behindDoc="0" locked="0" layoutInCell="1" allowOverlap="1" wp14:anchorId="463F11E4" wp14:editId="7C9E3B7B">
                <wp:simplePos x="0" y="0"/>
                <wp:positionH relativeFrom="column">
                  <wp:posOffset>-137795</wp:posOffset>
                </wp:positionH>
                <wp:positionV relativeFrom="paragraph">
                  <wp:posOffset>163195</wp:posOffset>
                </wp:positionV>
                <wp:extent cx="733425" cy="228600"/>
                <wp:effectExtent l="0" t="19050" r="47625" b="38100"/>
                <wp:wrapNone/>
                <wp:docPr id="17" name="Flèche droite 17"/>
                <wp:cNvGraphicFramePr/>
                <a:graphic xmlns:a="http://schemas.openxmlformats.org/drawingml/2006/main">
                  <a:graphicData uri="http://schemas.microsoft.com/office/word/2010/wordprocessingShape">
                    <wps:wsp>
                      <wps:cNvSpPr/>
                      <wps:spPr>
                        <a:xfrm>
                          <a:off x="0" y="0"/>
                          <a:ext cx="733425" cy="2286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BAC51" id="Flèche droite 17" o:spid="_x0000_s1026" type="#_x0000_t13" style="position:absolute;margin-left:-10.85pt;margin-top:12.85pt;width:57.7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" adj="18234" fillcolor="#0070c0" strokecolor="#c45911 [2405]" strokeweight="1.5pt"/>
            </w:pict>
          </mc:Fallback>
        </mc:AlternateContent>
      </w:r>
      <w:r w:rsidR="00DC6951">
        <w:rPr>
          <w:rStyle w:val="Lienhypertexte"/>
          <w:b/>
          <w:bCs/>
          <w:color w:val="auto"/>
          <w:u w:val="none"/>
        </w:rPr>
        <w:t>Demande d’une dérogation</w:t>
      </w:r>
      <w:r w:rsidR="00650E37">
        <w:rPr>
          <w:rStyle w:val="Lienhypertexte"/>
          <w:bCs/>
          <w:color w:val="auto"/>
          <w:u w:val="none"/>
        </w:rPr>
        <w:t xml:space="preserve"> : </w:t>
      </w:r>
      <w:r w:rsidR="009330AD">
        <w:t xml:space="preserve">conformément à l’art. R515-68 du code de l’environnement, </w:t>
      </w:r>
      <w:r w:rsidR="00650E37">
        <w:rPr>
          <w:rStyle w:val="Lienhypertexte"/>
          <w:bCs/>
          <w:color w:val="auto"/>
          <w:u w:val="none"/>
        </w:rPr>
        <w:t xml:space="preserve">il est possible </w:t>
      </w:r>
      <w:r w:rsidR="009330AD">
        <w:rPr>
          <w:rStyle w:val="Lienhypertexte"/>
          <w:bCs/>
          <w:color w:val="auto"/>
          <w:u w:val="none"/>
        </w:rPr>
        <w:t xml:space="preserve">depuis le 7/01/2014 </w:t>
      </w:r>
      <w:r w:rsidR="00650E37">
        <w:rPr>
          <w:rStyle w:val="Lienhypertexte"/>
          <w:bCs/>
          <w:color w:val="auto"/>
          <w:u w:val="none"/>
        </w:rPr>
        <w:t>de déroger à l’application des MTD dans 2 cas :</w:t>
      </w:r>
    </w:p>
    <w:p w:rsidR="00F86D08" w:rsidRPr="00F86D08" w:rsidRDefault="00F86D08" w:rsidP="00F86D08">
      <w:pPr>
        <w:pStyle w:val="Paragraphedeliste"/>
        <w:numPr>
          <w:ilvl w:val="0"/>
          <w:numId w:val="16"/>
        </w:numPr>
        <w:spacing w:before="120" w:after="120" w:line="240" w:lineRule="auto"/>
        <w:jc w:val="both"/>
        <w:textAlignment w:val="top"/>
        <w:rPr>
          <w:rStyle w:val="Lienhypertexte"/>
          <w:bCs/>
          <w:color w:val="auto"/>
          <w:u w:val="none"/>
        </w:rPr>
      </w:pPr>
      <w:r w:rsidRPr="00F86D08">
        <w:rPr>
          <w:rStyle w:val="Lienhypertexte"/>
          <w:bCs/>
          <w:color w:val="auto"/>
          <w:u w:val="none"/>
        </w:rPr>
        <w:t>L’exploitant peut demander une dérogation </w:t>
      </w:r>
      <w:r w:rsidRPr="006F3CFF">
        <w:rPr>
          <w:rStyle w:val="Lienhypertexte"/>
          <w:b/>
          <w:bCs/>
          <w:color w:val="auto"/>
          <w:u w:val="none"/>
        </w:rPr>
        <w:t>si le respect des BATAEL</w:t>
      </w:r>
      <w:r w:rsidRPr="006F3CFF">
        <w:rPr>
          <w:rStyle w:val="Appelnotedebasdep"/>
          <w:b/>
          <w:bCs/>
        </w:rPr>
        <w:footnoteReference w:id="9"/>
      </w:r>
      <w:r w:rsidRPr="006F3CFF">
        <w:rPr>
          <w:rStyle w:val="Lienhypertexte"/>
          <w:b/>
          <w:bCs/>
          <w:color w:val="auto"/>
          <w:u w:val="none"/>
        </w:rPr>
        <w:t xml:space="preserve"> entraine une hausse des coûts disproportionnée au regard des bénéfices pour l’environnement</w:t>
      </w:r>
      <w:r w:rsidRPr="00F86D08">
        <w:rPr>
          <w:rStyle w:val="Lienhypertexte"/>
          <w:bCs/>
          <w:color w:val="auto"/>
          <w:u w:val="none"/>
        </w:rPr>
        <w:t xml:space="preserve"> : </w:t>
      </w:r>
    </w:p>
    <w:p w:rsidR="00F86D08" w:rsidRDefault="00F86D08" w:rsidP="00F86D08">
      <w:pPr>
        <w:pStyle w:val="Paragraphedeliste"/>
        <w:numPr>
          <w:ilvl w:val="1"/>
          <w:numId w:val="17"/>
        </w:numPr>
        <w:spacing w:before="120" w:after="120" w:line="240" w:lineRule="auto"/>
        <w:jc w:val="both"/>
        <w:textAlignment w:val="top"/>
        <w:rPr>
          <w:rStyle w:val="Lienhypertexte"/>
          <w:bCs/>
          <w:color w:val="auto"/>
          <w:u w:val="none"/>
        </w:rPr>
      </w:pPr>
      <w:r>
        <w:rPr>
          <w:rStyle w:val="Lienhypertexte"/>
          <w:bCs/>
          <w:color w:val="auto"/>
          <w:u w:val="none"/>
        </w:rPr>
        <w:t xml:space="preserve">en raison de l’implantation géographique </w:t>
      </w:r>
    </w:p>
    <w:p w:rsidR="00F86D08" w:rsidRDefault="00F86D08" w:rsidP="00F86D08">
      <w:pPr>
        <w:pStyle w:val="Paragraphedeliste"/>
        <w:numPr>
          <w:ilvl w:val="1"/>
          <w:numId w:val="17"/>
        </w:numPr>
        <w:spacing w:before="120" w:after="120" w:line="240" w:lineRule="auto"/>
        <w:jc w:val="both"/>
        <w:textAlignment w:val="top"/>
        <w:rPr>
          <w:rStyle w:val="Lienhypertexte"/>
          <w:bCs/>
          <w:color w:val="auto"/>
          <w:u w:val="none"/>
        </w:rPr>
      </w:pPr>
      <w:r>
        <w:rPr>
          <w:rStyle w:val="Lienhypertexte"/>
          <w:bCs/>
          <w:color w:val="auto"/>
          <w:u w:val="none"/>
        </w:rPr>
        <w:t xml:space="preserve">ou des conditions locales de l’environnement, </w:t>
      </w:r>
    </w:p>
    <w:p w:rsidR="00F86D08" w:rsidRDefault="00F86D08" w:rsidP="00F86D08">
      <w:pPr>
        <w:pStyle w:val="Paragraphedeliste"/>
        <w:numPr>
          <w:ilvl w:val="1"/>
          <w:numId w:val="17"/>
        </w:numPr>
        <w:spacing w:before="120" w:after="120" w:line="240" w:lineRule="auto"/>
        <w:jc w:val="both"/>
        <w:textAlignment w:val="top"/>
        <w:rPr>
          <w:rStyle w:val="Lienhypertexte"/>
          <w:bCs/>
          <w:color w:val="auto"/>
          <w:u w:val="none"/>
        </w:rPr>
      </w:pPr>
      <w:r>
        <w:rPr>
          <w:rStyle w:val="Lienhypertexte"/>
          <w:bCs/>
          <w:color w:val="auto"/>
          <w:u w:val="none"/>
        </w:rPr>
        <w:t xml:space="preserve">ou encore des caractéristiques techniques de l’installation. </w:t>
      </w:r>
    </w:p>
    <w:p w:rsidR="001D05BE" w:rsidRDefault="001D05BE" w:rsidP="00F86D08">
      <w:pPr>
        <w:jc w:val="both"/>
        <w:rPr>
          <w:rStyle w:val="Lienhypertexte"/>
          <w:bCs/>
          <w:color w:val="auto"/>
          <w:u w:val="none"/>
        </w:rPr>
      </w:pPr>
      <w:r w:rsidRPr="00F86D08">
        <w:rPr>
          <w:rStyle w:val="Lienhypertexte"/>
          <w:bCs/>
          <w:color w:val="auto"/>
          <w:u w:val="none"/>
        </w:rPr>
        <w:t>Si le Préfet accorde cette dérogation, il devra en exposer publiquement les raisons. De plus, la dérogation devra être réexaminée périodiquement. De ce fait, ce type de dérogation est peu accordé.</w:t>
      </w:r>
    </w:p>
    <w:p w:rsidR="009330AD" w:rsidRDefault="00F86D08" w:rsidP="009330AD">
      <w:pPr>
        <w:pStyle w:val="Paragraphedeliste"/>
        <w:numPr>
          <w:ilvl w:val="0"/>
          <w:numId w:val="15"/>
        </w:numPr>
        <w:jc w:val="both"/>
        <w:rPr>
          <w:rStyle w:val="Lienhypertexte"/>
          <w:bCs/>
          <w:color w:val="auto"/>
          <w:u w:val="none"/>
        </w:rPr>
      </w:pPr>
      <w:r w:rsidRPr="006F3CFF">
        <w:rPr>
          <w:rStyle w:val="Lienhypertexte"/>
          <w:b/>
          <w:bCs/>
          <w:color w:val="auto"/>
          <w:u w:val="none"/>
        </w:rPr>
        <w:t>S</w:t>
      </w:r>
      <w:r w:rsidR="001D05BE" w:rsidRPr="006F3CFF">
        <w:rPr>
          <w:rStyle w:val="Lienhypertexte"/>
          <w:b/>
          <w:bCs/>
          <w:color w:val="auto"/>
          <w:u w:val="none"/>
        </w:rPr>
        <w:t>i l’exploitant teste des techniques émergentes</w:t>
      </w:r>
      <w:r w:rsidR="001D05BE">
        <w:rPr>
          <w:rStyle w:val="Lienhypertexte"/>
          <w:bCs/>
          <w:color w:val="auto"/>
          <w:u w:val="none"/>
        </w:rPr>
        <w:t>. Mais la dérogation n’est accordée que pour 9 mois maximum</w:t>
      </w:r>
    </w:p>
    <w:p w:rsidR="009844C9" w:rsidRDefault="009844C9" w:rsidP="009844C9">
      <w:pPr>
        <w:pStyle w:val="Paragraphedeliste"/>
        <w:jc w:val="both"/>
        <w:rPr>
          <w:rStyle w:val="Lienhypertexte"/>
          <w:bCs/>
          <w:color w:val="auto"/>
          <w:u w:val="none"/>
        </w:rPr>
      </w:pPr>
    </w:p>
    <w:p w:rsidR="009330AD" w:rsidRDefault="009330AD" w:rsidP="009330AD">
      <w:pPr>
        <w:jc w:val="both"/>
      </w:pPr>
      <w:r>
        <w:t>La DGPR</w:t>
      </w:r>
      <w:r>
        <w:rPr>
          <w:rStyle w:val="Appelnotedebasdep"/>
        </w:rPr>
        <w:footnoteReference w:id="10"/>
      </w:r>
      <w:r>
        <w:t xml:space="preserve"> a publié le 30/10/2017 un guide détaillant la procédure de dérogation, le contenu attendu du dossier, et un outil d’accompagnement permettant de présenter de manière détaillée les coûts de mise en œuvre d’une technique et de calculer </w:t>
      </w:r>
      <w:proofErr w:type="gramStart"/>
      <w:r>
        <w:t>les ratio</w:t>
      </w:r>
      <w:proofErr w:type="gramEnd"/>
      <w:r>
        <w:t xml:space="preserve"> coûts/efficacité (RCE) associés. </w:t>
      </w:r>
    </w:p>
    <w:p w:rsidR="009330AD" w:rsidRPr="00F1158C" w:rsidRDefault="009330AD" w:rsidP="009330AD">
      <w:pPr>
        <w:jc w:val="both"/>
        <w:rPr>
          <w:rStyle w:val="Lienhypertexte"/>
          <w:color w:val="2E74B5" w:themeColor="accent1" w:themeShade="BF"/>
        </w:rPr>
      </w:pPr>
      <w:r>
        <w:t>Pour accéder à ces documents</w:t>
      </w:r>
      <w:r w:rsidR="00F1158C">
        <w:t xml:space="preserve"> : </w:t>
      </w:r>
      <w:hyperlink r:id="rId22" w:history="1">
        <w:r w:rsidRPr="00F1158C">
          <w:rPr>
            <w:rStyle w:val="Lienhypertexte"/>
            <w:color w:val="2E74B5" w:themeColor="accent1" w:themeShade="BF"/>
          </w:rPr>
          <w:t>http://www.installationsclassees.developpement-durable.gouv.fr/Publication-du-Guide-dedemande-de.html</w:t>
        </w:r>
      </w:hyperlink>
    </w:p>
    <w:p w:rsidR="00051E1E" w:rsidRPr="00051E1E" w:rsidRDefault="00437A91" w:rsidP="00051E1E">
      <w:pPr>
        <w:jc w:val="both"/>
        <w:rPr>
          <w:rStyle w:val="Lienhypertexte"/>
          <w:bCs/>
          <w:color w:val="auto"/>
          <w:u w:val="none"/>
        </w:rPr>
      </w:pPr>
      <w:r w:rsidRPr="00263B93">
        <w:rPr>
          <w:b/>
          <w:noProof/>
          <w:lang w:eastAsia="fr-FR"/>
        </w:rPr>
        <mc:AlternateContent>
          <mc:Choice Requires="wps">
            <w:drawing>
              <wp:anchor distT="0" distB="0" distL="114300" distR="114300" simplePos="0" relativeHeight="251680768" behindDoc="0" locked="0" layoutInCell="1" allowOverlap="1" wp14:anchorId="7203B1FA" wp14:editId="12CFB9C3">
                <wp:simplePos x="0" y="0"/>
                <wp:positionH relativeFrom="column">
                  <wp:posOffset>-333375</wp:posOffset>
                </wp:positionH>
                <wp:positionV relativeFrom="paragraph">
                  <wp:posOffset>259715</wp:posOffset>
                </wp:positionV>
                <wp:extent cx="733425" cy="228600"/>
                <wp:effectExtent l="0" t="19050" r="47625" b="38100"/>
                <wp:wrapNone/>
                <wp:docPr id="16" name="Flèche droite 16"/>
                <wp:cNvGraphicFramePr/>
                <a:graphic xmlns:a="http://schemas.openxmlformats.org/drawingml/2006/main">
                  <a:graphicData uri="http://schemas.microsoft.com/office/word/2010/wordprocessingShape">
                    <wps:wsp>
                      <wps:cNvSpPr/>
                      <wps:spPr>
                        <a:xfrm>
                          <a:off x="0" y="0"/>
                          <a:ext cx="733425" cy="2286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E8B68" id="Flèche droite 16" o:spid="_x0000_s1026" type="#_x0000_t13" style="position:absolute;margin-left:-26.25pt;margin-top:20.45pt;width:57.7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" adj="18234" fillcolor="#0070c0" strokecolor="#c45911 [2405]" strokeweight="1.5pt"/>
            </w:pict>
          </mc:Fallback>
        </mc:AlternateContent>
      </w:r>
    </w:p>
    <w:p w:rsidR="00051E1E" w:rsidRPr="00051E1E" w:rsidRDefault="00437A91" w:rsidP="00002C6B">
      <w:pPr>
        <w:ind w:left="708" w:firstLine="708"/>
        <w:jc w:val="both"/>
        <w:rPr>
          <w:rStyle w:val="Lienhypertexte"/>
          <w:bCs/>
          <w:color w:val="auto"/>
          <w:u w:val="none"/>
        </w:rPr>
      </w:pPr>
      <w:r w:rsidRPr="00263B93">
        <w:rPr>
          <w:b/>
          <w:noProof/>
          <w:lang w:eastAsia="fr-FR"/>
        </w:rPr>
        <mc:AlternateContent>
          <mc:Choice Requires="wps">
            <w:drawing>
              <wp:anchor distT="0" distB="0" distL="114300" distR="114300" simplePos="0" relativeHeight="251674624" behindDoc="0" locked="0" layoutInCell="1" allowOverlap="1" wp14:anchorId="09CA62C6" wp14:editId="343C0B3D">
                <wp:simplePos x="0" y="0"/>
                <wp:positionH relativeFrom="column">
                  <wp:posOffset>-337820</wp:posOffset>
                </wp:positionH>
                <wp:positionV relativeFrom="paragraph">
                  <wp:posOffset>810895</wp:posOffset>
                </wp:positionV>
                <wp:extent cx="733425" cy="228600"/>
                <wp:effectExtent l="0" t="19050" r="47625" b="38100"/>
                <wp:wrapNone/>
                <wp:docPr id="14" name="Flèche droite 14"/>
                <wp:cNvGraphicFramePr/>
                <a:graphic xmlns:a="http://schemas.openxmlformats.org/drawingml/2006/main">
                  <a:graphicData uri="http://schemas.microsoft.com/office/word/2010/wordprocessingShape">
                    <wps:wsp>
                      <wps:cNvSpPr/>
                      <wps:spPr>
                        <a:xfrm>
                          <a:off x="0" y="0"/>
                          <a:ext cx="733425" cy="228600"/>
                        </a:xfrm>
                        <a:prstGeom prst="rightArrow">
                          <a:avLst/>
                        </a:prstGeom>
                        <a:solidFill>
                          <a:srgbClr val="0070C0"/>
                        </a:solidFill>
                        <a:ln w="190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52D89" id="Flèche droite 14" o:spid="_x0000_s1026" type="#_x0000_t13" style="position:absolute;margin-left:-26.6pt;margin-top:63.85pt;width:57.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" adj="18234" fillcolor="#0070c0" strokecolor="#c45911 [2405]" strokeweight="1.5pt"/>
            </w:pict>
          </mc:Fallback>
        </mc:AlternateContent>
      </w:r>
      <w:r w:rsidR="00051E1E" w:rsidRPr="00051E1E">
        <w:rPr>
          <w:rStyle w:val="Lienhypertexte"/>
          <w:b/>
          <w:bCs/>
          <w:color w:val="auto"/>
          <w:u w:val="none"/>
        </w:rPr>
        <w:t>Recours</w:t>
      </w:r>
      <w:r w:rsidR="00DC6951">
        <w:rPr>
          <w:rStyle w:val="Lienhypertexte"/>
          <w:bCs/>
          <w:color w:val="auto"/>
          <w:u w:val="none"/>
        </w:rPr>
        <w:t xml:space="preserve"> : il n’y a à </w:t>
      </w:r>
      <w:r w:rsidR="00051E1E">
        <w:rPr>
          <w:rStyle w:val="Lienhypertexte"/>
          <w:bCs/>
          <w:color w:val="auto"/>
          <w:u w:val="none"/>
        </w:rPr>
        <w:t>ce jour que peu de jurisprudence, française ou européenne, en matière de recours contre l’application des MTD. Force est de constater qu’il est extrêmement difficile d’obtenir la modification des Conclusions sur les MTD une fois qu’elles sont votées, sauf à attendre leur révision tous les 8 ans.</w:t>
      </w:r>
    </w:p>
    <w:p w:rsidR="00AC5B65" w:rsidRPr="00CA5574" w:rsidRDefault="0088629B" w:rsidP="0088629B">
      <w:pPr>
        <w:ind w:left="708" w:firstLine="708"/>
        <w:jc w:val="both"/>
        <w:rPr>
          <w:rStyle w:val="Lienhypertexte"/>
          <w:bCs/>
          <w:color w:val="auto"/>
          <w:u w:val="none"/>
        </w:rPr>
      </w:pPr>
      <w:r>
        <w:rPr>
          <w:rStyle w:val="Lienhypertexte"/>
          <w:color w:val="auto"/>
          <w:u w:val="none"/>
        </w:rPr>
        <w:t xml:space="preserve">Si pour un BREF donné, </w:t>
      </w:r>
      <w:r w:rsidRPr="0088629B">
        <w:rPr>
          <w:rStyle w:val="Lienhypertexte"/>
          <w:b/>
          <w:color w:val="auto"/>
          <w:u w:val="none"/>
        </w:rPr>
        <w:t>les</w:t>
      </w:r>
      <w:r w:rsidR="00D92F8D" w:rsidRPr="0088629B">
        <w:rPr>
          <w:rStyle w:val="Lienhypertexte"/>
          <w:b/>
          <w:color w:val="auto"/>
          <w:u w:val="none"/>
        </w:rPr>
        <w:t> </w:t>
      </w:r>
      <w:r w:rsidRPr="0088629B">
        <w:rPr>
          <w:rStyle w:val="Lienhypertexte"/>
          <w:b/>
          <w:color w:val="auto"/>
          <w:u w:val="none"/>
        </w:rPr>
        <w:t>C</w:t>
      </w:r>
      <w:r w:rsidR="00D4344F" w:rsidRPr="0088629B">
        <w:rPr>
          <w:rStyle w:val="Lienhypertexte"/>
          <w:b/>
          <w:color w:val="auto"/>
          <w:u w:val="none"/>
        </w:rPr>
        <w:t>onclusions sur les MTD</w:t>
      </w:r>
      <w:r w:rsidR="00D92F8D" w:rsidRPr="0088629B">
        <w:rPr>
          <w:rStyle w:val="Lienhypertexte"/>
          <w:b/>
          <w:color w:val="auto"/>
          <w:u w:val="none"/>
        </w:rPr>
        <w:t xml:space="preserve">» </w:t>
      </w:r>
      <w:r w:rsidRPr="0088629B">
        <w:rPr>
          <w:rStyle w:val="Lienhypertexte"/>
          <w:b/>
          <w:color w:val="auto"/>
          <w:u w:val="none"/>
        </w:rPr>
        <w:t>ne sont pas encore sorties</w:t>
      </w:r>
      <w:r>
        <w:rPr>
          <w:rStyle w:val="Lienhypertexte"/>
          <w:color w:val="auto"/>
          <w:u w:val="none"/>
        </w:rPr>
        <w:t>, les obligations ne s’appliquent pas, le</w:t>
      </w:r>
      <w:r w:rsidR="00D4344F" w:rsidRPr="00CA5574">
        <w:rPr>
          <w:rStyle w:val="Lienhypertexte"/>
          <w:color w:val="auto"/>
          <w:u w:val="none"/>
        </w:rPr>
        <w:t xml:space="preserve"> BREF existant sert</w:t>
      </w:r>
      <w:r w:rsidR="00D92F8D" w:rsidRPr="00CA5574">
        <w:rPr>
          <w:rStyle w:val="Lienhypertexte"/>
          <w:color w:val="auto"/>
          <w:u w:val="none"/>
        </w:rPr>
        <w:t xml:space="preserve"> alors</w:t>
      </w:r>
      <w:r w:rsidR="00D4344F" w:rsidRPr="00CA5574">
        <w:rPr>
          <w:rStyle w:val="Lienhypertexte"/>
          <w:color w:val="auto"/>
          <w:u w:val="none"/>
        </w:rPr>
        <w:t xml:space="preserve"> de référence.</w:t>
      </w:r>
    </w:p>
    <w:p w:rsidR="00CC56FC" w:rsidRPr="00B31444" w:rsidRDefault="00CC56FC" w:rsidP="00B31444">
      <w:pPr>
        <w:spacing w:before="120" w:after="120" w:line="240" w:lineRule="auto"/>
        <w:jc w:val="both"/>
        <w:textAlignment w:val="top"/>
        <w:rPr>
          <w:rStyle w:val="Lienhypertexte"/>
          <w:bCs/>
          <w:color w:val="auto"/>
          <w:u w:val="none"/>
        </w:rPr>
      </w:pPr>
    </w:p>
    <w:p w:rsidR="00067225" w:rsidRPr="00067225" w:rsidRDefault="004404E5" w:rsidP="00067225">
      <w:pPr>
        <w:rPr>
          <w:rStyle w:val="Lienhypertexte"/>
          <w:b/>
          <w:color w:val="auto"/>
          <w:sz w:val="36"/>
          <w:szCs w:val="36"/>
          <w:u w:val="none"/>
        </w:rPr>
      </w:pPr>
      <w:r w:rsidRPr="00067225">
        <w:rPr>
          <w:rStyle w:val="Lienhypertexte"/>
          <w:b/>
          <w:color w:val="auto"/>
          <w:sz w:val="36"/>
          <w:szCs w:val="36"/>
          <w:u w:val="none"/>
        </w:rPr>
        <w:t>Pour en savoir plus :</w:t>
      </w:r>
    </w:p>
    <w:p w:rsidR="004404E5" w:rsidRPr="00F1158C" w:rsidRDefault="00341990" w:rsidP="00067225">
      <w:pPr>
        <w:rPr>
          <w:rStyle w:val="Lienhypertexte"/>
          <w:color w:val="2E74B5" w:themeColor="accent1" w:themeShade="BF"/>
          <w:u w:val="none"/>
        </w:rPr>
      </w:pPr>
      <w:hyperlink r:id="rId23" w:history="1">
        <w:r w:rsidR="00256EE5" w:rsidRPr="00F1158C">
          <w:rPr>
            <w:rStyle w:val="Lienhypertexte"/>
            <w:color w:val="2E74B5" w:themeColor="accent1" w:themeShade="BF"/>
          </w:rPr>
          <w:t>http://ied.ineris.fr</w:t>
        </w:r>
      </w:hyperlink>
    </w:p>
    <w:p w:rsidR="00067225" w:rsidRDefault="00067225" w:rsidP="00132C02">
      <w:pPr>
        <w:pStyle w:val="ox-7ec3a8c54a-msonormal"/>
        <w:spacing w:before="0" w:beforeAutospacing="0" w:after="150" w:afterAutospacing="0"/>
        <w:rPr>
          <w:rStyle w:val="Lienhypertexte"/>
          <w:rFonts w:asciiTheme="minorHAnsi" w:eastAsiaTheme="minorHAnsi" w:hAnsiTheme="minorHAnsi" w:cstheme="minorBidi"/>
          <w:color w:val="auto"/>
          <w:sz w:val="22"/>
          <w:szCs w:val="22"/>
          <w:u w:val="none"/>
          <w:lang w:eastAsia="en-US"/>
        </w:rPr>
      </w:pPr>
      <w:r>
        <w:rPr>
          <w:rStyle w:val="Lienhypertexte"/>
          <w:rFonts w:asciiTheme="minorHAnsi" w:eastAsiaTheme="minorHAnsi" w:hAnsiTheme="minorHAnsi" w:cstheme="minorBidi"/>
          <w:color w:val="auto"/>
          <w:sz w:val="22"/>
          <w:szCs w:val="22"/>
          <w:u w:val="none"/>
          <w:lang w:eastAsia="en-US"/>
        </w:rPr>
        <w:t xml:space="preserve">. </w:t>
      </w:r>
      <w:r w:rsidR="003319C8" w:rsidRPr="00067225">
        <w:rPr>
          <w:rStyle w:val="Lienhypertexte"/>
          <w:rFonts w:asciiTheme="minorHAnsi" w:eastAsiaTheme="minorHAnsi" w:hAnsiTheme="minorHAnsi" w:cstheme="minorBidi"/>
          <w:color w:val="auto"/>
          <w:sz w:val="22"/>
          <w:szCs w:val="22"/>
          <w:u w:val="none"/>
          <w:lang w:eastAsia="en-US"/>
        </w:rPr>
        <w:t xml:space="preserve">Guide de mise en </w:t>
      </w:r>
      <w:proofErr w:type="spellStart"/>
      <w:r w:rsidR="003319C8" w:rsidRPr="00067225">
        <w:rPr>
          <w:rStyle w:val="Lienhypertexte"/>
          <w:rFonts w:asciiTheme="minorHAnsi" w:eastAsiaTheme="minorHAnsi" w:hAnsiTheme="minorHAnsi" w:cstheme="minorBidi"/>
          <w:color w:val="auto"/>
          <w:sz w:val="22"/>
          <w:szCs w:val="22"/>
          <w:u w:val="none"/>
          <w:lang w:eastAsia="en-US"/>
        </w:rPr>
        <w:t>oeuvre</w:t>
      </w:r>
      <w:proofErr w:type="spellEnd"/>
      <w:r w:rsidR="003319C8" w:rsidRPr="00067225">
        <w:rPr>
          <w:rStyle w:val="Lienhypertexte"/>
          <w:rFonts w:asciiTheme="minorHAnsi" w:eastAsiaTheme="minorHAnsi" w:hAnsiTheme="minorHAnsi" w:cstheme="minorBidi"/>
          <w:color w:val="auto"/>
          <w:sz w:val="22"/>
          <w:szCs w:val="22"/>
          <w:u w:val="none"/>
          <w:lang w:eastAsia="en-US"/>
        </w:rPr>
        <w:t xml:space="preserve"> de la directive sur </w:t>
      </w:r>
      <w:r>
        <w:rPr>
          <w:rStyle w:val="Lienhypertexte"/>
          <w:rFonts w:asciiTheme="minorHAnsi" w:eastAsiaTheme="minorHAnsi" w:hAnsiTheme="minorHAnsi" w:cstheme="minorBidi"/>
          <w:color w:val="auto"/>
          <w:sz w:val="22"/>
          <w:szCs w:val="22"/>
          <w:u w:val="none"/>
          <w:lang w:eastAsia="en-US"/>
        </w:rPr>
        <w:t>les émissions industrielles </w:t>
      </w:r>
    </w:p>
    <w:p w:rsidR="00132C02" w:rsidRPr="00F1158C" w:rsidRDefault="00132C02" w:rsidP="00F1158C">
      <w:pPr>
        <w:rPr>
          <w:rStyle w:val="Lienhypertexte"/>
          <w:color w:val="2E74B5" w:themeColor="accent1" w:themeShade="BF"/>
        </w:rPr>
      </w:pPr>
      <w:hyperlink r:id="rId24" w:history="1">
        <w:r w:rsidRPr="00F1158C">
          <w:rPr>
            <w:rStyle w:val="Lienhypertexte"/>
            <w:color w:val="2E74B5" w:themeColor="accent1" w:themeShade="BF"/>
          </w:rPr>
          <w:t>http://www.installationsclassees.developpement-durable.gouv.fr/IMG/pdf/Guide_IED_v2.pdf</w:t>
        </w:r>
      </w:hyperlink>
    </w:p>
    <w:p w:rsidR="00067225" w:rsidRPr="00067225" w:rsidRDefault="00067225" w:rsidP="00067225">
      <w:pPr>
        <w:pStyle w:val="ox-7ec3a8c54a-msonormal"/>
        <w:spacing w:before="0" w:beforeAutospacing="0" w:after="150" w:afterAutospacing="0"/>
        <w:rPr>
          <w:rStyle w:val="Lienhypertexte"/>
          <w:rFonts w:asciiTheme="minorHAnsi" w:eastAsiaTheme="minorHAnsi" w:hAnsiTheme="minorHAnsi" w:cstheme="minorBidi"/>
          <w:color w:val="auto"/>
          <w:sz w:val="22"/>
          <w:szCs w:val="22"/>
          <w:u w:val="none"/>
          <w:lang w:eastAsia="en-US"/>
        </w:rPr>
      </w:pPr>
      <w:r w:rsidRPr="00067225">
        <w:rPr>
          <w:rStyle w:val="Lienhypertexte"/>
          <w:rFonts w:asciiTheme="minorHAnsi" w:eastAsiaTheme="minorHAnsi" w:hAnsiTheme="minorHAnsi" w:cstheme="minorBidi"/>
          <w:color w:val="auto"/>
          <w:sz w:val="22"/>
          <w:szCs w:val="22"/>
          <w:u w:val="none"/>
          <w:lang w:eastAsia="en-US"/>
        </w:rPr>
        <w:t xml:space="preserve">. Supports de présentation du mardi de la DGPR du 13/06/2017 </w:t>
      </w:r>
      <w:r>
        <w:rPr>
          <w:rStyle w:val="Lienhypertexte"/>
          <w:rFonts w:asciiTheme="minorHAnsi" w:eastAsiaTheme="minorHAnsi" w:hAnsiTheme="minorHAnsi" w:cstheme="minorBidi"/>
          <w:color w:val="auto"/>
          <w:sz w:val="22"/>
          <w:szCs w:val="22"/>
          <w:u w:val="none"/>
          <w:lang w:eastAsia="en-US"/>
        </w:rPr>
        <w:t>« </w:t>
      </w:r>
      <w:r w:rsidRPr="00067225">
        <w:rPr>
          <w:rStyle w:val="Lienhypertexte"/>
          <w:rFonts w:asciiTheme="minorHAnsi" w:eastAsiaTheme="minorHAnsi" w:hAnsiTheme="minorHAnsi" w:cstheme="minorBidi"/>
          <w:color w:val="auto"/>
          <w:sz w:val="22"/>
          <w:szCs w:val="22"/>
          <w:u w:val="none"/>
          <w:lang w:eastAsia="en-US"/>
        </w:rPr>
        <w:t>IED : 4 ans après...</w:t>
      </w:r>
      <w:r>
        <w:rPr>
          <w:rStyle w:val="Lienhypertexte"/>
          <w:rFonts w:asciiTheme="minorHAnsi" w:eastAsiaTheme="minorHAnsi" w:hAnsiTheme="minorHAnsi" w:cstheme="minorBidi"/>
          <w:color w:val="auto"/>
          <w:sz w:val="22"/>
          <w:szCs w:val="22"/>
          <w:u w:val="none"/>
          <w:lang w:eastAsia="en-US"/>
        </w:rPr>
        <w:t> »</w:t>
      </w:r>
      <w:r w:rsidRPr="00067225">
        <w:rPr>
          <w:rStyle w:val="Lienhypertexte"/>
          <w:rFonts w:asciiTheme="minorHAnsi" w:eastAsiaTheme="minorHAnsi" w:hAnsiTheme="minorHAnsi" w:cstheme="minorBidi"/>
          <w:color w:val="auto"/>
          <w:sz w:val="22"/>
          <w:szCs w:val="22"/>
          <w:u w:val="none"/>
          <w:lang w:eastAsia="en-US"/>
        </w:rPr>
        <w:t>  </w:t>
      </w:r>
    </w:p>
    <w:p w:rsidR="004404E5" w:rsidRPr="00067225" w:rsidRDefault="00067225" w:rsidP="00437A91">
      <w:pPr>
        <w:rPr>
          <w:rStyle w:val="Lienhypertexte"/>
          <w:bCs/>
          <w:color w:val="2E74B5" w:themeColor="accent1" w:themeShade="BF"/>
          <w:u w:val="none"/>
        </w:rPr>
      </w:pPr>
      <w:hyperlink r:id="rId25" w:anchor="e3" w:history="1">
        <w:r w:rsidRPr="00F1158C">
          <w:rPr>
            <w:rStyle w:val="Lienhypertexte"/>
            <w:color w:val="2E74B5" w:themeColor="accent1" w:themeShade="BF"/>
          </w:rPr>
          <w:t>https://www.ecologique-solidaire.gouv.fr/direction-generale-prevention-des-risques-dgpr#e3</w:t>
        </w:r>
      </w:hyperlink>
      <w:r w:rsidRPr="00F1158C">
        <w:rPr>
          <w:rStyle w:val="Lienhypertexte"/>
          <w:color w:val="2E74B5" w:themeColor="accent1" w:themeShade="BF"/>
        </w:rPr>
        <w:t> </w:t>
      </w:r>
      <w:bookmarkStart w:id="1" w:name="_GoBack"/>
      <w:bookmarkEnd w:id="1"/>
    </w:p>
    <w:sectPr w:rsidR="004404E5" w:rsidRPr="00067225" w:rsidSect="00F13E7F">
      <w:headerReference w:type="default" r:id="rId26"/>
      <w:footerReference w:type="default" r:id="rId27"/>
      <w:pgSz w:w="11906" w:h="16838"/>
      <w:pgMar w:top="1417" w:right="1417" w:bottom="1417" w:left="1417" w:header="11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990" w:rsidRDefault="00341990" w:rsidP="004204A9">
      <w:pPr>
        <w:spacing w:after="0" w:line="240" w:lineRule="auto"/>
      </w:pPr>
      <w:r>
        <w:separator/>
      </w:r>
    </w:p>
  </w:endnote>
  <w:endnote w:type="continuationSeparator" w:id="0">
    <w:p w:rsidR="00341990" w:rsidRDefault="00341990" w:rsidP="00420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768611"/>
      <w:docPartObj>
        <w:docPartGallery w:val="Page Numbers (Bottom of Page)"/>
        <w:docPartUnique/>
      </w:docPartObj>
    </w:sdtPr>
    <w:sdtEndPr/>
    <w:sdtContent>
      <w:sdt>
        <w:sdtPr>
          <w:id w:val="-1769616900"/>
          <w:docPartObj>
            <w:docPartGallery w:val="Page Numbers (Top of Page)"/>
            <w:docPartUnique/>
          </w:docPartObj>
        </w:sdtPr>
        <w:sdtEndPr/>
        <w:sdtContent>
          <w:p w:rsidR="004204A9" w:rsidRDefault="004204A9">
            <w:pPr>
              <w:pStyle w:val="Pieddepage"/>
              <w:jc w:val="right"/>
            </w:pPr>
            <w:r>
              <w:t xml:space="preserve">Page </w:t>
            </w:r>
            <w:r w:rsidR="00B604B1">
              <w:rPr>
                <w:b/>
                <w:bCs/>
                <w:sz w:val="24"/>
                <w:szCs w:val="24"/>
              </w:rPr>
              <w:fldChar w:fldCharType="begin"/>
            </w:r>
            <w:r>
              <w:rPr>
                <w:b/>
                <w:bCs/>
              </w:rPr>
              <w:instrText>PAGE</w:instrText>
            </w:r>
            <w:r w:rsidR="00B604B1">
              <w:rPr>
                <w:b/>
                <w:bCs/>
                <w:sz w:val="24"/>
                <w:szCs w:val="24"/>
              </w:rPr>
              <w:fldChar w:fldCharType="separate"/>
            </w:r>
            <w:r w:rsidR="00437A91">
              <w:rPr>
                <w:b/>
                <w:bCs/>
                <w:noProof/>
              </w:rPr>
              <w:t>5</w:t>
            </w:r>
            <w:r w:rsidR="00B604B1">
              <w:rPr>
                <w:b/>
                <w:bCs/>
                <w:sz w:val="24"/>
                <w:szCs w:val="24"/>
              </w:rPr>
              <w:fldChar w:fldCharType="end"/>
            </w:r>
            <w:r>
              <w:t xml:space="preserve"> sur </w:t>
            </w:r>
            <w:r w:rsidR="00B604B1">
              <w:rPr>
                <w:b/>
                <w:bCs/>
                <w:sz w:val="24"/>
                <w:szCs w:val="24"/>
              </w:rPr>
              <w:fldChar w:fldCharType="begin"/>
            </w:r>
            <w:r>
              <w:rPr>
                <w:b/>
                <w:bCs/>
              </w:rPr>
              <w:instrText>NUMPAGES</w:instrText>
            </w:r>
            <w:r w:rsidR="00B604B1">
              <w:rPr>
                <w:b/>
                <w:bCs/>
                <w:sz w:val="24"/>
                <w:szCs w:val="24"/>
              </w:rPr>
              <w:fldChar w:fldCharType="separate"/>
            </w:r>
            <w:r w:rsidR="00437A91">
              <w:rPr>
                <w:b/>
                <w:bCs/>
                <w:noProof/>
              </w:rPr>
              <w:t>5</w:t>
            </w:r>
            <w:r w:rsidR="00B604B1">
              <w:rPr>
                <w:b/>
                <w:bCs/>
                <w:sz w:val="24"/>
                <w:szCs w:val="24"/>
              </w:rPr>
              <w:fldChar w:fldCharType="end"/>
            </w:r>
          </w:p>
        </w:sdtContent>
      </w:sdt>
    </w:sdtContent>
  </w:sdt>
  <w:p w:rsidR="004204A9" w:rsidRDefault="004204A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990" w:rsidRDefault="00341990" w:rsidP="004204A9">
      <w:pPr>
        <w:spacing w:after="0" w:line="240" w:lineRule="auto"/>
      </w:pPr>
      <w:r>
        <w:separator/>
      </w:r>
    </w:p>
  </w:footnote>
  <w:footnote w:type="continuationSeparator" w:id="0">
    <w:p w:rsidR="00341990" w:rsidRDefault="00341990" w:rsidP="004204A9">
      <w:pPr>
        <w:spacing w:after="0" w:line="240" w:lineRule="auto"/>
      </w:pPr>
      <w:r>
        <w:continuationSeparator/>
      </w:r>
    </w:p>
  </w:footnote>
  <w:footnote w:id="1">
    <w:p w:rsidR="003F0D0E" w:rsidRDefault="003F0D0E">
      <w:pPr>
        <w:pStyle w:val="Notedebasdepage"/>
      </w:pPr>
      <w:r>
        <w:rPr>
          <w:rStyle w:val="Appelnotedebasdep"/>
        </w:rPr>
        <w:footnoteRef/>
      </w:r>
      <w:r>
        <w:t xml:space="preserve"> Meilleures techniques disponibles</w:t>
      </w:r>
    </w:p>
  </w:footnote>
  <w:footnote w:id="2">
    <w:p w:rsidR="005B505C" w:rsidRDefault="005B505C">
      <w:pPr>
        <w:pStyle w:val="Notedebasdepage"/>
      </w:pPr>
      <w:r>
        <w:rPr>
          <w:rStyle w:val="Appelnotedebasdep"/>
        </w:rPr>
        <w:footnoteRef/>
      </w:r>
      <w:r>
        <w:t xml:space="preserve"> </w:t>
      </w:r>
      <w:proofErr w:type="spellStart"/>
      <w:r>
        <w:t>Cf</w:t>
      </w:r>
      <w:proofErr w:type="spellEnd"/>
      <w:r>
        <w:t xml:space="preserve"> articles 515-28 et 515-68 du Code de l’Environnement</w:t>
      </w:r>
    </w:p>
  </w:footnote>
  <w:footnote w:id="3">
    <w:p w:rsidR="005B0990" w:rsidRDefault="005B0990">
      <w:pPr>
        <w:pStyle w:val="Notedebasdepage"/>
      </w:pPr>
      <w:r>
        <w:rPr>
          <w:rStyle w:val="Appelnotedebasdep"/>
        </w:rPr>
        <w:footnoteRef/>
      </w:r>
      <w:r>
        <w:t xml:space="preserve"> </w:t>
      </w:r>
      <w:r w:rsidRPr="00F47594">
        <w:rPr>
          <w:rFonts w:asciiTheme="majorHAnsi" w:hAnsiTheme="majorHAnsi"/>
        </w:rPr>
        <w:t xml:space="preserve">Integrated Pollution </w:t>
      </w:r>
      <w:proofErr w:type="spellStart"/>
      <w:r w:rsidRPr="00F47594">
        <w:rPr>
          <w:rFonts w:asciiTheme="majorHAnsi" w:hAnsiTheme="majorHAnsi"/>
        </w:rPr>
        <w:t>Prevention</w:t>
      </w:r>
      <w:proofErr w:type="spellEnd"/>
      <w:r w:rsidRPr="00F47594">
        <w:rPr>
          <w:rFonts w:asciiTheme="majorHAnsi" w:hAnsiTheme="majorHAnsi"/>
        </w:rPr>
        <w:t xml:space="preserve"> and Control</w:t>
      </w:r>
    </w:p>
  </w:footnote>
  <w:footnote w:id="4">
    <w:p w:rsidR="000A535E" w:rsidRDefault="000A535E">
      <w:pPr>
        <w:pStyle w:val="Notedebasdepage"/>
      </w:pPr>
      <w:r>
        <w:rPr>
          <w:rStyle w:val="Appelnotedebasdep"/>
        </w:rPr>
        <w:footnoteRef/>
      </w:r>
      <w:r>
        <w:t xml:space="preserve"> </w:t>
      </w:r>
      <w:proofErr w:type="gramStart"/>
      <w:r>
        <w:rPr>
          <w:rStyle w:val="Lienhypertexte"/>
          <w:color w:val="auto"/>
          <w:u w:val="none"/>
        </w:rPr>
        <w:t>regroupant</w:t>
      </w:r>
      <w:proofErr w:type="gramEnd"/>
      <w:r>
        <w:rPr>
          <w:rStyle w:val="Lienhypertexte"/>
          <w:color w:val="auto"/>
          <w:u w:val="none"/>
        </w:rPr>
        <w:t xml:space="preserve"> des exploitants, des inspecteurs environnementaux et des représentants d’organisation de protection de l’environnement</w:t>
      </w:r>
    </w:p>
  </w:footnote>
  <w:footnote w:id="5">
    <w:p w:rsidR="000A535E" w:rsidRDefault="000A535E">
      <w:pPr>
        <w:pStyle w:val="Notedebasdepage"/>
      </w:pPr>
      <w:r>
        <w:rPr>
          <w:rStyle w:val="Appelnotedebasdep"/>
        </w:rPr>
        <w:footnoteRef/>
      </w:r>
      <w:r>
        <w:t xml:space="preserve"> </w:t>
      </w:r>
      <w:r w:rsidRPr="00196612">
        <w:rPr>
          <w:rStyle w:val="Lienhypertexte"/>
          <w:color w:val="auto"/>
          <w:u w:val="none"/>
        </w:rPr>
        <w:t xml:space="preserve">Best </w:t>
      </w:r>
      <w:proofErr w:type="spellStart"/>
      <w:r w:rsidRPr="00196612">
        <w:rPr>
          <w:rStyle w:val="Lienhypertexte"/>
          <w:color w:val="auto"/>
          <w:u w:val="none"/>
        </w:rPr>
        <w:t>available</w:t>
      </w:r>
      <w:proofErr w:type="spellEnd"/>
      <w:r w:rsidRPr="00196612">
        <w:rPr>
          <w:rStyle w:val="Lienhypertexte"/>
          <w:color w:val="auto"/>
          <w:u w:val="none"/>
        </w:rPr>
        <w:t xml:space="preserve"> techniques </w:t>
      </w:r>
      <w:proofErr w:type="spellStart"/>
      <w:r w:rsidRPr="00196612">
        <w:rPr>
          <w:rStyle w:val="Lienhypertexte"/>
          <w:color w:val="auto"/>
          <w:u w:val="none"/>
        </w:rPr>
        <w:t>REFerence</w:t>
      </w:r>
      <w:proofErr w:type="spellEnd"/>
      <w:r w:rsidRPr="00196612">
        <w:rPr>
          <w:rStyle w:val="Lienhypertexte"/>
          <w:color w:val="auto"/>
          <w:u w:val="none"/>
        </w:rPr>
        <w:t xml:space="preserve"> document</w:t>
      </w:r>
    </w:p>
  </w:footnote>
  <w:footnote w:id="6">
    <w:p w:rsidR="00F37290" w:rsidRDefault="00F37290">
      <w:pPr>
        <w:pStyle w:val="Notedebasdepage"/>
      </w:pPr>
      <w:r>
        <w:rPr>
          <w:rStyle w:val="Appelnotedebasdep"/>
        </w:rPr>
        <w:footnoteRef/>
      </w:r>
      <w:r>
        <w:t xml:space="preserve"> Ex : les organismes de protection de l’environnement sont uniquement représentés par le Bureau Européen de l’Environnement, qui représente 140 ONG dans 31 pays</w:t>
      </w:r>
    </w:p>
  </w:footnote>
  <w:footnote w:id="7">
    <w:p w:rsidR="007F4402" w:rsidRDefault="007F4402">
      <w:pPr>
        <w:pStyle w:val="Notedebasdepage"/>
      </w:pPr>
      <w:r>
        <w:rPr>
          <w:rStyle w:val="Appelnotedebasdep"/>
        </w:rPr>
        <w:footnoteRef/>
      </w:r>
      <w:r>
        <w:t xml:space="preserve"> En fonction de la démographie des pays</w:t>
      </w:r>
    </w:p>
  </w:footnote>
  <w:footnote w:id="8">
    <w:p w:rsidR="00B31444" w:rsidRDefault="00B31444">
      <w:pPr>
        <w:pStyle w:val="Notedebasdepage"/>
      </w:pPr>
      <w:r>
        <w:rPr>
          <w:rStyle w:val="Appelnotedebasdep"/>
        </w:rPr>
        <w:footnoteRef/>
      </w:r>
      <w:r>
        <w:t xml:space="preserve"> </w:t>
      </w:r>
      <w:r w:rsidR="007F4402">
        <w:t>Journal Officiel de l’Union E</w:t>
      </w:r>
      <w:r>
        <w:t>uropéenne</w:t>
      </w:r>
    </w:p>
  </w:footnote>
  <w:footnote w:id="9">
    <w:p w:rsidR="00F86D08" w:rsidRDefault="00F86D08" w:rsidP="00F86D08">
      <w:pPr>
        <w:pStyle w:val="Notedebasdepage"/>
      </w:pPr>
      <w:r>
        <w:rPr>
          <w:rStyle w:val="Appelnotedebasdep"/>
        </w:rPr>
        <w:footnoteRef/>
      </w:r>
      <w:r>
        <w:t xml:space="preserve"> </w:t>
      </w:r>
      <w:r w:rsidRPr="00B31444">
        <w:rPr>
          <w:rStyle w:val="Lienhypertexte"/>
          <w:bCs/>
          <w:color w:val="auto"/>
          <w:u w:val="none"/>
        </w:rPr>
        <w:t xml:space="preserve">Best </w:t>
      </w:r>
      <w:proofErr w:type="spellStart"/>
      <w:r w:rsidRPr="00B31444">
        <w:rPr>
          <w:rStyle w:val="Lienhypertexte"/>
          <w:bCs/>
          <w:color w:val="auto"/>
          <w:u w:val="none"/>
        </w:rPr>
        <w:t>Available</w:t>
      </w:r>
      <w:proofErr w:type="spellEnd"/>
      <w:r w:rsidRPr="00B31444">
        <w:rPr>
          <w:rStyle w:val="Lienhypertexte"/>
          <w:bCs/>
          <w:color w:val="auto"/>
          <w:u w:val="none"/>
        </w:rPr>
        <w:t xml:space="preserve"> Techniques Associated Emission </w:t>
      </w:r>
      <w:proofErr w:type="spellStart"/>
      <w:r w:rsidRPr="00B31444">
        <w:rPr>
          <w:rStyle w:val="Lienhypertexte"/>
          <w:bCs/>
          <w:color w:val="auto"/>
          <w:u w:val="none"/>
        </w:rPr>
        <w:t>Level</w:t>
      </w:r>
      <w:proofErr w:type="spellEnd"/>
    </w:p>
  </w:footnote>
  <w:footnote w:id="10">
    <w:p w:rsidR="009330AD" w:rsidRDefault="009330AD">
      <w:pPr>
        <w:pStyle w:val="Notedebasdepage"/>
      </w:pPr>
      <w:r>
        <w:rPr>
          <w:rStyle w:val="Appelnotedebasdep"/>
        </w:rPr>
        <w:footnoteRef/>
      </w:r>
      <w:r>
        <w:t xml:space="preserve"> </w:t>
      </w:r>
      <w:proofErr w:type="gramStart"/>
      <w:r>
        <w:t>direction</w:t>
      </w:r>
      <w:proofErr w:type="gramEnd"/>
      <w:r>
        <w:t xml:space="preserve"> générale de la prévention des risques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4A9" w:rsidRDefault="00AD467C" w:rsidP="00AD467C">
    <w:pPr>
      <w:pStyle w:val="En-tte"/>
      <w:tabs>
        <w:tab w:val="clear" w:pos="4536"/>
        <w:tab w:val="clear" w:pos="9072"/>
        <w:tab w:val="left" w:pos="975"/>
      </w:tabs>
    </w:pPr>
    <w:r>
      <w:t xml:space="preserve">Les synthèses de la FENARIVE – </w:t>
    </w:r>
    <w:r w:rsidR="006F1320">
      <w:t>version novembre</w:t>
    </w:r>
    <w:r>
      <w:t xml:space="preserve"> 201</w:t>
    </w:r>
    <w:r w:rsidR="006F1320">
      <w:t>7</w:t>
    </w:r>
    <w:r>
      <w:tab/>
      <w:t xml:space="preserve">                    </w:t>
    </w:r>
    <w:r w:rsidR="006F1320">
      <w:rPr>
        <w:noProof/>
        <w:lang w:eastAsia="fr-FR"/>
      </w:rPr>
      <w:drawing>
        <wp:inline distT="0" distB="0" distL="0" distR="0" wp14:anchorId="44A1DE5D" wp14:editId="10DC77F2">
          <wp:extent cx="1466850" cy="950134"/>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847" cy="965030"/>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60F32"/>
    <w:multiLevelType w:val="hybridMultilevel"/>
    <w:tmpl w:val="67824B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F5E38"/>
    <w:multiLevelType w:val="hybridMultilevel"/>
    <w:tmpl w:val="1C5C60A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77B50"/>
    <w:multiLevelType w:val="hybridMultilevel"/>
    <w:tmpl w:val="E93E7BD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8D3B39"/>
    <w:multiLevelType w:val="hybridMultilevel"/>
    <w:tmpl w:val="521081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9B5A21"/>
    <w:multiLevelType w:val="hybridMultilevel"/>
    <w:tmpl w:val="DAA22B7A"/>
    <w:lvl w:ilvl="0" w:tplc="040C0003">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767EF0"/>
    <w:multiLevelType w:val="hybridMultilevel"/>
    <w:tmpl w:val="FD58DA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4E5229"/>
    <w:multiLevelType w:val="hybridMultilevel"/>
    <w:tmpl w:val="4C608E4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887507"/>
    <w:multiLevelType w:val="hybridMultilevel"/>
    <w:tmpl w:val="6E24C0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79609A"/>
    <w:multiLevelType w:val="hybridMultilevel"/>
    <w:tmpl w:val="835499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1A0053"/>
    <w:multiLevelType w:val="hybridMultilevel"/>
    <w:tmpl w:val="1CC88A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53C5218"/>
    <w:multiLevelType w:val="hybridMultilevel"/>
    <w:tmpl w:val="76E0CE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7025A7"/>
    <w:multiLevelType w:val="hybridMultilevel"/>
    <w:tmpl w:val="365A8566"/>
    <w:lvl w:ilvl="0" w:tplc="3D7E7DCA">
      <w:start w:val="3"/>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59C6383B"/>
    <w:multiLevelType w:val="multilevel"/>
    <w:tmpl w:val="DAC6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C377AD"/>
    <w:multiLevelType w:val="hybridMultilevel"/>
    <w:tmpl w:val="F2CC0658"/>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4" w15:restartNumberingAfterBreak="0">
    <w:nsid w:val="605321DF"/>
    <w:multiLevelType w:val="hybridMultilevel"/>
    <w:tmpl w:val="2CA287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FE0B56"/>
    <w:multiLevelType w:val="hybridMultilevel"/>
    <w:tmpl w:val="15DAD0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65270A4"/>
    <w:multiLevelType w:val="multilevel"/>
    <w:tmpl w:val="4CE6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2"/>
  </w:num>
  <w:num w:numId="3">
    <w:abstractNumId w:val="2"/>
  </w:num>
  <w:num w:numId="4">
    <w:abstractNumId w:val="8"/>
  </w:num>
  <w:num w:numId="5">
    <w:abstractNumId w:val="0"/>
  </w:num>
  <w:num w:numId="6">
    <w:abstractNumId w:val="9"/>
  </w:num>
  <w:num w:numId="7">
    <w:abstractNumId w:val="7"/>
  </w:num>
  <w:num w:numId="8">
    <w:abstractNumId w:val="13"/>
  </w:num>
  <w:num w:numId="9">
    <w:abstractNumId w:val="1"/>
  </w:num>
  <w:num w:numId="10">
    <w:abstractNumId w:val="11"/>
  </w:num>
  <w:num w:numId="11">
    <w:abstractNumId w:val="5"/>
  </w:num>
  <w:num w:numId="12">
    <w:abstractNumId w:val="3"/>
  </w:num>
  <w:num w:numId="13">
    <w:abstractNumId w:val="10"/>
  </w:num>
  <w:num w:numId="14">
    <w:abstractNumId w:val="14"/>
  </w:num>
  <w:num w:numId="15">
    <w:abstractNumId w:val="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CBA"/>
    <w:rsid w:val="00002C6B"/>
    <w:rsid w:val="0000410E"/>
    <w:rsid w:val="00051E1E"/>
    <w:rsid w:val="00055D29"/>
    <w:rsid w:val="00067225"/>
    <w:rsid w:val="0007678E"/>
    <w:rsid w:val="00084685"/>
    <w:rsid w:val="000A535E"/>
    <w:rsid w:val="000E4CC2"/>
    <w:rsid w:val="000F344A"/>
    <w:rsid w:val="00100D0B"/>
    <w:rsid w:val="001071C1"/>
    <w:rsid w:val="001163F1"/>
    <w:rsid w:val="00116D90"/>
    <w:rsid w:val="00117874"/>
    <w:rsid w:val="00127B16"/>
    <w:rsid w:val="00130217"/>
    <w:rsid w:val="00132C02"/>
    <w:rsid w:val="00182AC4"/>
    <w:rsid w:val="00196612"/>
    <w:rsid w:val="001A4152"/>
    <w:rsid w:val="001D05BE"/>
    <w:rsid w:val="001D2786"/>
    <w:rsid w:val="001D7FC7"/>
    <w:rsid w:val="001F7391"/>
    <w:rsid w:val="00247103"/>
    <w:rsid w:val="00256EE5"/>
    <w:rsid w:val="00263B93"/>
    <w:rsid w:val="002B7DE6"/>
    <w:rsid w:val="002D478A"/>
    <w:rsid w:val="00315B32"/>
    <w:rsid w:val="0031634D"/>
    <w:rsid w:val="003319C8"/>
    <w:rsid w:val="00341990"/>
    <w:rsid w:val="003644E7"/>
    <w:rsid w:val="003765EF"/>
    <w:rsid w:val="00376A2D"/>
    <w:rsid w:val="003E4081"/>
    <w:rsid w:val="003E62FF"/>
    <w:rsid w:val="003F0D0E"/>
    <w:rsid w:val="00401C1F"/>
    <w:rsid w:val="0041044A"/>
    <w:rsid w:val="004204A9"/>
    <w:rsid w:val="00437A91"/>
    <w:rsid w:val="004404E5"/>
    <w:rsid w:val="004460E8"/>
    <w:rsid w:val="004B2701"/>
    <w:rsid w:val="004B5555"/>
    <w:rsid w:val="004B7EE2"/>
    <w:rsid w:val="004C4B79"/>
    <w:rsid w:val="004E4B4C"/>
    <w:rsid w:val="00540423"/>
    <w:rsid w:val="00580750"/>
    <w:rsid w:val="00581E2A"/>
    <w:rsid w:val="00586123"/>
    <w:rsid w:val="00591830"/>
    <w:rsid w:val="00591CD9"/>
    <w:rsid w:val="00597F5A"/>
    <w:rsid w:val="005B0990"/>
    <w:rsid w:val="005B505C"/>
    <w:rsid w:val="00607B1F"/>
    <w:rsid w:val="006206AF"/>
    <w:rsid w:val="0063001D"/>
    <w:rsid w:val="00647B9A"/>
    <w:rsid w:val="0065082D"/>
    <w:rsid w:val="00650E37"/>
    <w:rsid w:val="006561C5"/>
    <w:rsid w:val="00667DEC"/>
    <w:rsid w:val="006706A6"/>
    <w:rsid w:val="006D5375"/>
    <w:rsid w:val="006E20A6"/>
    <w:rsid w:val="006E34C5"/>
    <w:rsid w:val="006F1320"/>
    <w:rsid w:val="006F3CFF"/>
    <w:rsid w:val="00713528"/>
    <w:rsid w:val="007260AF"/>
    <w:rsid w:val="00752621"/>
    <w:rsid w:val="007526E0"/>
    <w:rsid w:val="0078625C"/>
    <w:rsid w:val="007F4402"/>
    <w:rsid w:val="008279F0"/>
    <w:rsid w:val="00864722"/>
    <w:rsid w:val="0088629B"/>
    <w:rsid w:val="008942B0"/>
    <w:rsid w:val="008B7D37"/>
    <w:rsid w:val="008C4FDC"/>
    <w:rsid w:val="008E0232"/>
    <w:rsid w:val="008F47EB"/>
    <w:rsid w:val="009330AD"/>
    <w:rsid w:val="00953906"/>
    <w:rsid w:val="009844C9"/>
    <w:rsid w:val="00984C44"/>
    <w:rsid w:val="009C2D4F"/>
    <w:rsid w:val="009C51F8"/>
    <w:rsid w:val="009D0129"/>
    <w:rsid w:val="009E096E"/>
    <w:rsid w:val="00A04561"/>
    <w:rsid w:val="00A11D06"/>
    <w:rsid w:val="00A16433"/>
    <w:rsid w:val="00A16728"/>
    <w:rsid w:val="00A218A8"/>
    <w:rsid w:val="00A21EE9"/>
    <w:rsid w:val="00A364A0"/>
    <w:rsid w:val="00A91B99"/>
    <w:rsid w:val="00A94E45"/>
    <w:rsid w:val="00AB6987"/>
    <w:rsid w:val="00AC5B65"/>
    <w:rsid w:val="00AD467C"/>
    <w:rsid w:val="00AD6AA6"/>
    <w:rsid w:val="00AE2D9C"/>
    <w:rsid w:val="00AE68BD"/>
    <w:rsid w:val="00B07816"/>
    <w:rsid w:val="00B25F95"/>
    <w:rsid w:val="00B31444"/>
    <w:rsid w:val="00B40530"/>
    <w:rsid w:val="00B604B1"/>
    <w:rsid w:val="00B97669"/>
    <w:rsid w:val="00C20185"/>
    <w:rsid w:val="00C24EC4"/>
    <w:rsid w:val="00C30794"/>
    <w:rsid w:val="00C62F0C"/>
    <w:rsid w:val="00CA29E4"/>
    <w:rsid w:val="00CA4F30"/>
    <w:rsid w:val="00CA5574"/>
    <w:rsid w:val="00CC56FC"/>
    <w:rsid w:val="00CD3133"/>
    <w:rsid w:val="00CD3DBC"/>
    <w:rsid w:val="00D1297A"/>
    <w:rsid w:val="00D25D4F"/>
    <w:rsid w:val="00D26E63"/>
    <w:rsid w:val="00D4344F"/>
    <w:rsid w:val="00D47CBA"/>
    <w:rsid w:val="00D53DDA"/>
    <w:rsid w:val="00D92F8D"/>
    <w:rsid w:val="00DC6951"/>
    <w:rsid w:val="00DD63E2"/>
    <w:rsid w:val="00DE1928"/>
    <w:rsid w:val="00DF442A"/>
    <w:rsid w:val="00E65903"/>
    <w:rsid w:val="00E9123E"/>
    <w:rsid w:val="00EA1F8E"/>
    <w:rsid w:val="00EA3C1D"/>
    <w:rsid w:val="00ED4141"/>
    <w:rsid w:val="00EE57DD"/>
    <w:rsid w:val="00F05498"/>
    <w:rsid w:val="00F068D9"/>
    <w:rsid w:val="00F1158C"/>
    <w:rsid w:val="00F13E7F"/>
    <w:rsid w:val="00F356B4"/>
    <w:rsid w:val="00F3601D"/>
    <w:rsid w:val="00F37290"/>
    <w:rsid w:val="00F47C24"/>
    <w:rsid w:val="00F86D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148F93-AF97-41D1-A2F1-B6C56ACB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B1"/>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7CBA"/>
    <w:rPr>
      <w:color w:val="9C8D4F"/>
      <w:u w:val="single"/>
    </w:rPr>
  </w:style>
  <w:style w:type="character" w:styleId="lev">
    <w:name w:val="Strong"/>
    <w:basedOn w:val="Policepardfaut"/>
    <w:uiPriority w:val="22"/>
    <w:qFormat/>
    <w:rsid w:val="00D47CBA"/>
    <w:rPr>
      <w:b/>
      <w:bCs/>
    </w:rPr>
  </w:style>
  <w:style w:type="paragraph" w:styleId="NormalWeb">
    <w:name w:val="Normal (Web)"/>
    <w:basedOn w:val="Normal"/>
    <w:uiPriority w:val="99"/>
    <w:semiHidden/>
    <w:unhideWhenUsed/>
    <w:rsid w:val="00D47CBA"/>
    <w:pPr>
      <w:spacing w:before="120" w:after="120" w:line="240" w:lineRule="auto"/>
      <w:jc w:val="both"/>
    </w:pPr>
    <w:rPr>
      <w:rFonts w:ascii="Verdana" w:eastAsia="Times New Roman" w:hAnsi="Verdana" w:cs="Times New Roman"/>
      <w:sz w:val="18"/>
      <w:szCs w:val="18"/>
      <w:lang w:eastAsia="fr-FR"/>
    </w:rPr>
  </w:style>
  <w:style w:type="character" w:styleId="Accentuation">
    <w:name w:val="Emphasis"/>
    <w:basedOn w:val="Policepardfaut"/>
    <w:uiPriority w:val="20"/>
    <w:qFormat/>
    <w:rsid w:val="00D47CBA"/>
    <w:rPr>
      <w:i/>
      <w:iCs/>
    </w:rPr>
  </w:style>
  <w:style w:type="paragraph" w:styleId="En-tte">
    <w:name w:val="header"/>
    <w:basedOn w:val="Normal"/>
    <w:link w:val="En-tteCar"/>
    <w:uiPriority w:val="99"/>
    <w:unhideWhenUsed/>
    <w:rsid w:val="004204A9"/>
    <w:pPr>
      <w:tabs>
        <w:tab w:val="center" w:pos="4536"/>
        <w:tab w:val="right" w:pos="9072"/>
      </w:tabs>
      <w:spacing w:after="0" w:line="240" w:lineRule="auto"/>
    </w:pPr>
  </w:style>
  <w:style w:type="character" w:customStyle="1" w:styleId="En-tteCar">
    <w:name w:val="En-tête Car"/>
    <w:basedOn w:val="Policepardfaut"/>
    <w:link w:val="En-tte"/>
    <w:uiPriority w:val="99"/>
    <w:rsid w:val="004204A9"/>
  </w:style>
  <w:style w:type="paragraph" w:styleId="Pieddepage">
    <w:name w:val="footer"/>
    <w:basedOn w:val="Normal"/>
    <w:link w:val="PieddepageCar"/>
    <w:uiPriority w:val="99"/>
    <w:unhideWhenUsed/>
    <w:rsid w:val="004204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204A9"/>
  </w:style>
  <w:style w:type="paragraph" w:styleId="Paragraphedeliste">
    <w:name w:val="List Paragraph"/>
    <w:basedOn w:val="Normal"/>
    <w:uiPriority w:val="34"/>
    <w:qFormat/>
    <w:rsid w:val="004404E5"/>
    <w:pPr>
      <w:ind w:left="720"/>
      <w:contextualSpacing/>
    </w:pPr>
  </w:style>
  <w:style w:type="paragraph" w:styleId="Notedebasdepage">
    <w:name w:val="footnote text"/>
    <w:basedOn w:val="Normal"/>
    <w:link w:val="NotedebasdepageCar"/>
    <w:uiPriority w:val="99"/>
    <w:semiHidden/>
    <w:unhideWhenUsed/>
    <w:rsid w:val="009539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3906"/>
    <w:rPr>
      <w:sz w:val="20"/>
      <w:szCs w:val="20"/>
    </w:rPr>
  </w:style>
  <w:style w:type="character" w:styleId="Appelnotedebasdep">
    <w:name w:val="footnote reference"/>
    <w:basedOn w:val="Policepardfaut"/>
    <w:uiPriority w:val="99"/>
    <w:semiHidden/>
    <w:unhideWhenUsed/>
    <w:rsid w:val="00953906"/>
    <w:rPr>
      <w:vertAlign w:val="superscript"/>
    </w:rPr>
  </w:style>
  <w:style w:type="character" w:styleId="Lienhypertextesuivivisit">
    <w:name w:val="FollowedHyperlink"/>
    <w:basedOn w:val="Policepardfaut"/>
    <w:uiPriority w:val="99"/>
    <w:semiHidden/>
    <w:unhideWhenUsed/>
    <w:rsid w:val="0065082D"/>
    <w:rPr>
      <w:color w:val="954F72" w:themeColor="followedHyperlink"/>
      <w:u w:val="single"/>
    </w:rPr>
  </w:style>
  <w:style w:type="paragraph" w:styleId="Textedebulles">
    <w:name w:val="Balloon Text"/>
    <w:basedOn w:val="Normal"/>
    <w:link w:val="TextedebullesCar"/>
    <w:uiPriority w:val="99"/>
    <w:semiHidden/>
    <w:unhideWhenUsed/>
    <w:rsid w:val="00D129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297A"/>
    <w:rPr>
      <w:rFonts w:ascii="Tahoma" w:hAnsi="Tahoma" w:cs="Tahoma"/>
      <w:sz w:val="16"/>
      <w:szCs w:val="16"/>
    </w:rPr>
  </w:style>
  <w:style w:type="paragraph" w:customStyle="1" w:styleId="ox-7ec3a8c54a-msonormal">
    <w:name w:val="ox-7ec3a8c54a-msonormal"/>
    <w:basedOn w:val="Normal"/>
    <w:rsid w:val="008942B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614056">
      <w:bodyDiv w:val="1"/>
      <w:marLeft w:val="0"/>
      <w:marRight w:val="0"/>
      <w:marTop w:val="0"/>
      <w:marBottom w:val="0"/>
      <w:divBdr>
        <w:top w:val="none" w:sz="0" w:space="0" w:color="auto"/>
        <w:left w:val="none" w:sz="0" w:space="0" w:color="auto"/>
        <w:bottom w:val="none" w:sz="0" w:space="0" w:color="auto"/>
        <w:right w:val="none" w:sz="0" w:space="0" w:color="auto"/>
      </w:divBdr>
      <w:divsChild>
        <w:div w:id="272983034">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1424497022">
              <w:marLeft w:val="0"/>
              <w:marRight w:val="0"/>
              <w:marTop w:val="0"/>
              <w:marBottom w:val="0"/>
              <w:divBdr>
                <w:top w:val="none" w:sz="0" w:space="0" w:color="auto"/>
                <w:left w:val="none" w:sz="0" w:space="0" w:color="auto"/>
                <w:bottom w:val="none" w:sz="0" w:space="0" w:color="auto"/>
                <w:right w:val="none" w:sz="0" w:space="0" w:color="auto"/>
              </w:divBdr>
              <w:divsChild>
                <w:div w:id="2322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6233">
      <w:bodyDiv w:val="1"/>
      <w:marLeft w:val="0"/>
      <w:marRight w:val="0"/>
      <w:marTop w:val="0"/>
      <w:marBottom w:val="0"/>
      <w:divBdr>
        <w:top w:val="none" w:sz="0" w:space="0" w:color="auto"/>
        <w:left w:val="none" w:sz="0" w:space="0" w:color="auto"/>
        <w:bottom w:val="none" w:sz="0" w:space="0" w:color="auto"/>
        <w:right w:val="none" w:sz="0" w:space="0" w:color="auto"/>
      </w:divBdr>
      <w:divsChild>
        <w:div w:id="293827416">
          <w:marLeft w:val="0"/>
          <w:marRight w:val="0"/>
          <w:marTop w:val="0"/>
          <w:marBottom w:val="0"/>
          <w:divBdr>
            <w:top w:val="none" w:sz="0" w:space="0" w:color="auto"/>
            <w:left w:val="none" w:sz="0" w:space="0" w:color="auto"/>
            <w:bottom w:val="none" w:sz="0" w:space="0" w:color="auto"/>
            <w:right w:val="none" w:sz="0" w:space="0" w:color="auto"/>
          </w:divBdr>
          <w:divsChild>
            <w:div w:id="654574366">
              <w:marLeft w:val="0"/>
              <w:marRight w:val="0"/>
              <w:marTop w:val="75"/>
              <w:marBottom w:val="0"/>
              <w:divBdr>
                <w:top w:val="none" w:sz="0" w:space="0" w:color="auto"/>
                <w:left w:val="none" w:sz="0" w:space="0" w:color="auto"/>
                <w:bottom w:val="none" w:sz="0" w:space="0" w:color="auto"/>
                <w:right w:val="none" w:sz="0" w:space="0" w:color="auto"/>
              </w:divBdr>
              <w:divsChild>
                <w:div w:id="1267419319">
                  <w:marLeft w:val="0"/>
                  <w:marRight w:val="0"/>
                  <w:marTop w:val="0"/>
                  <w:marBottom w:val="0"/>
                  <w:divBdr>
                    <w:top w:val="none" w:sz="0" w:space="0" w:color="auto"/>
                    <w:left w:val="none" w:sz="0" w:space="0" w:color="auto"/>
                    <w:bottom w:val="none" w:sz="0" w:space="0" w:color="auto"/>
                    <w:right w:val="none" w:sz="0" w:space="0" w:color="auto"/>
                  </w:divBdr>
                  <w:divsChild>
                    <w:div w:id="99953822">
                      <w:marLeft w:val="0"/>
                      <w:marRight w:val="0"/>
                      <w:marTop w:val="0"/>
                      <w:marBottom w:val="0"/>
                      <w:divBdr>
                        <w:top w:val="none" w:sz="0" w:space="0" w:color="auto"/>
                        <w:left w:val="none" w:sz="0" w:space="0" w:color="auto"/>
                        <w:bottom w:val="none" w:sz="0" w:space="0" w:color="auto"/>
                        <w:right w:val="none" w:sz="0" w:space="0" w:color="auto"/>
                      </w:divBdr>
                      <w:divsChild>
                        <w:div w:id="2049529932">
                          <w:marLeft w:val="0"/>
                          <w:marRight w:val="0"/>
                          <w:marTop w:val="0"/>
                          <w:marBottom w:val="0"/>
                          <w:divBdr>
                            <w:top w:val="none" w:sz="0" w:space="0" w:color="auto"/>
                            <w:left w:val="none" w:sz="0" w:space="0" w:color="auto"/>
                            <w:bottom w:val="none" w:sz="0" w:space="0" w:color="auto"/>
                            <w:right w:val="none" w:sz="0" w:space="0" w:color="auto"/>
                          </w:divBdr>
                          <w:divsChild>
                            <w:div w:id="448666235">
                              <w:marLeft w:val="105"/>
                              <w:marRight w:val="105"/>
                              <w:marTop w:val="105"/>
                              <w:marBottom w:val="105"/>
                              <w:divBdr>
                                <w:top w:val="none" w:sz="0" w:space="0" w:color="auto"/>
                                <w:left w:val="none" w:sz="0" w:space="0" w:color="auto"/>
                                <w:bottom w:val="none" w:sz="0" w:space="0" w:color="auto"/>
                                <w:right w:val="none" w:sz="0" w:space="0" w:color="auto"/>
                              </w:divBdr>
                              <w:divsChild>
                                <w:div w:id="1679961018">
                                  <w:marLeft w:val="0"/>
                                  <w:marRight w:val="0"/>
                                  <w:marTop w:val="0"/>
                                  <w:marBottom w:val="0"/>
                                  <w:divBdr>
                                    <w:top w:val="none" w:sz="0" w:space="0" w:color="auto"/>
                                    <w:left w:val="none" w:sz="0" w:space="0" w:color="auto"/>
                                    <w:bottom w:val="none" w:sz="0" w:space="0" w:color="auto"/>
                                    <w:right w:val="none" w:sz="0" w:space="0" w:color="auto"/>
                                  </w:divBdr>
                                  <w:divsChild>
                                    <w:div w:id="1787235608">
                                      <w:marLeft w:val="0"/>
                                      <w:marRight w:val="0"/>
                                      <w:marTop w:val="0"/>
                                      <w:marBottom w:val="0"/>
                                      <w:divBdr>
                                        <w:top w:val="none" w:sz="0" w:space="0" w:color="auto"/>
                                        <w:left w:val="none" w:sz="0" w:space="0" w:color="auto"/>
                                        <w:bottom w:val="none" w:sz="0" w:space="0" w:color="auto"/>
                                        <w:right w:val="none" w:sz="0" w:space="0" w:color="auto"/>
                                      </w:divBdr>
                                      <w:divsChild>
                                        <w:div w:id="1187476544">
                                          <w:marLeft w:val="0"/>
                                          <w:marRight w:val="0"/>
                                          <w:marTop w:val="0"/>
                                          <w:marBottom w:val="0"/>
                                          <w:divBdr>
                                            <w:top w:val="none" w:sz="0" w:space="0" w:color="auto"/>
                                            <w:left w:val="none" w:sz="0" w:space="0" w:color="auto"/>
                                            <w:bottom w:val="none" w:sz="0" w:space="0" w:color="auto"/>
                                            <w:right w:val="none" w:sz="0" w:space="0" w:color="auto"/>
                                          </w:divBdr>
                                          <w:divsChild>
                                            <w:div w:id="71546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999440">
      <w:bodyDiv w:val="1"/>
      <w:marLeft w:val="0"/>
      <w:marRight w:val="0"/>
      <w:marTop w:val="0"/>
      <w:marBottom w:val="0"/>
      <w:divBdr>
        <w:top w:val="none" w:sz="0" w:space="0" w:color="auto"/>
        <w:left w:val="none" w:sz="0" w:space="0" w:color="auto"/>
        <w:bottom w:val="none" w:sz="0" w:space="0" w:color="auto"/>
        <w:right w:val="none" w:sz="0" w:space="0" w:color="auto"/>
      </w:divBdr>
      <w:divsChild>
        <w:div w:id="1224558398">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899556323">
              <w:marLeft w:val="0"/>
              <w:marRight w:val="0"/>
              <w:marTop w:val="0"/>
              <w:marBottom w:val="0"/>
              <w:divBdr>
                <w:top w:val="none" w:sz="0" w:space="0" w:color="auto"/>
                <w:left w:val="none" w:sz="0" w:space="0" w:color="auto"/>
                <w:bottom w:val="none" w:sz="0" w:space="0" w:color="auto"/>
                <w:right w:val="none" w:sz="0" w:space="0" w:color="auto"/>
              </w:divBdr>
              <w:divsChild>
                <w:div w:id="166720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0929">
      <w:bodyDiv w:val="1"/>
      <w:marLeft w:val="0"/>
      <w:marRight w:val="0"/>
      <w:marTop w:val="0"/>
      <w:marBottom w:val="0"/>
      <w:divBdr>
        <w:top w:val="none" w:sz="0" w:space="0" w:color="auto"/>
        <w:left w:val="none" w:sz="0" w:space="0" w:color="auto"/>
        <w:bottom w:val="none" w:sz="0" w:space="0" w:color="auto"/>
        <w:right w:val="none" w:sz="0" w:space="0" w:color="auto"/>
      </w:divBdr>
      <w:divsChild>
        <w:div w:id="1484814423">
          <w:marLeft w:val="0"/>
          <w:marRight w:val="0"/>
          <w:marTop w:val="0"/>
          <w:marBottom w:val="0"/>
          <w:divBdr>
            <w:top w:val="none" w:sz="0" w:space="0" w:color="auto"/>
            <w:left w:val="none" w:sz="0" w:space="0" w:color="auto"/>
            <w:bottom w:val="none" w:sz="0" w:space="0" w:color="auto"/>
            <w:right w:val="none" w:sz="0" w:space="0" w:color="auto"/>
          </w:divBdr>
          <w:divsChild>
            <w:div w:id="1323581070">
              <w:marLeft w:val="0"/>
              <w:marRight w:val="0"/>
              <w:marTop w:val="75"/>
              <w:marBottom w:val="0"/>
              <w:divBdr>
                <w:top w:val="none" w:sz="0" w:space="0" w:color="auto"/>
                <w:left w:val="none" w:sz="0" w:space="0" w:color="auto"/>
                <w:bottom w:val="none" w:sz="0" w:space="0" w:color="auto"/>
                <w:right w:val="none" w:sz="0" w:space="0" w:color="auto"/>
              </w:divBdr>
              <w:divsChild>
                <w:div w:id="1290433309">
                  <w:marLeft w:val="0"/>
                  <w:marRight w:val="0"/>
                  <w:marTop w:val="0"/>
                  <w:marBottom w:val="0"/>
                  <w:divBdr>
                    <w:top w:val="none" w:sz="0" w:space="0" w:color="auto"/>
                    <w:left w:val="none" w:sz="0" w:space="0" w:color="auto"/>
                    <w:bottom w:val="none" w:sz="0" w:space="0" w:color="auto"/>
                    <w:right w:val="none" w:sz="0" w:space="0" w:color="auto"/>
                  </w:divBdr>
                  <w:divsChild>
                    <w:div w:id="759059350">
                      <w:marLeft w:val="0"/>
                      <w:marRight w:val="0"/>
                      <w:marTop w:val="0"/>
                      <w:marBottom w:val="0"/>
                      <w:divBdr>
                        <w:top w:val="none" w:sz="0" w:space="0" w:color="auto"/>
                        <w:left w:val="none" w:sz="0" w:space="0" w:color="auto"/>
                        <w:bottom w:val="none" w:sz="0" w:space="0" w:color="auto"/>
                        <w:right w:val="none" w:sz="0" w:space="0" w:color="auto"/>
                      </w:divBdr>
                      <w:divsChild>
                        <w:div w:id="1257789531">
                          <w:marLeft w:val="0"/>
                          <w:marRight w:val="0"/>
                          <w:marTop w:val="0"/>
                          <w:marBottom w:val="0"/>
                          <w:divBdr>
                            <w:top w:val="none" w:sz="0" w:space="0" w:color="auto"/>
                            <w:left w:val="none" w:sz="0" w:space="0" w:color="auto"/>
                            <w:bottom w:val="none" w:sz="0" w:space="0" w:color="auto"/>
                            <w:right w:val="none" w:sz="0" w:space="0" w:color="auto"/>
                          </w:divBdr>
                          <w:divsChild>
                            <w:div w:id="2132164137">
                              <w:marLeft w:val="105"/>
                              <w:marRight w:val="105"/>
                              <w:marTop w:val="105"/>
                              <w:marBottom w:val="105"/>
                              <w:divBdr>
                                <w:top w:val="none" w:sz="0" w:space="0" w:color="auto"/>
                                <w:left w:val="none" w:sz="0" w:space="0" w:color="auto"/>
                                <w:bottom w:val="none" w:sz="0" w:space="0" w:color="auto"/>
                                <w:right w:val="none" w:sz="0" w:space="0" w:color="auto"/>
                              </w:divBdr>
                              <w:divsChild>
                                <w:div w:id="732238332">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220941166">
                                          <w:marLeft w:val="0"/>
                                          <w:marRight w:val="0"/>
                                          <w:marTop w:val="0"/>
                                          <w:marBottom w:val="0"/>
                                          <w:divBdr>
                                            <w:top w:val="none" w:sz="0" w:space="0" w:color="auto"/>
                                            <w:left w:val="none" w:sz="0" w:space="0" w:color="auto"/>
                                            <w:bottom w:val="none" w:sz="0" w:space="0" w:color="auto"/>
                                            <w:right w:val="none" w:sz="0" w:space="0" w:color="auto"/>
                                          </w:divBdr>
                                          <w:divsChild>
                                            <w:div w:id="18131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480984">
      <w:bodyDiv w:val="1"/>
      <w:marLeft w:val="0"/>
      <w:marRight w:val="0"/>
      <w:marTop w:val="0"/>
      <w:marBottom w:val="0"/>
      <w:divBdr>
        <w:top w:val="none" w:sz="0" w:space="0" w:color="auto"/>
        <w:left w:val="none" w:sz="0" w:space="0" w:color="auto"/>
        <w:bottom w:val="none" w:sz="0" w:space="0" w:color="auto"/>
        <w:right w:val="none" w:sz="0" w:space="0" w:color="auto"/>
      </w:divBdr>
      <w:divsChild>
        <w:div w:id="1809517114">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1934237454">
              <w:marLeft w:val="0"/>
              <w:marRight w:val="0"/>
              <w:marTop w:val="0"/>
              <w:marBottom w:val="0"/>
              <w:divBdr>
                <w:top w:val="none" w:sz="0" w:space="0" w:color="auto"/>
                <w:left w:val="none" w:sz="0" w:space="0" w:color="auto"/>
                <w:bottom w:val="none" w:sz="0" w:space="0" w:color="auto"/>
                <w:right w:val="none" w:sz="0" w:space="0" w:color="auto"/>
              </w:divBdr>
              <w:divsChild>
                <w:div w:id="2124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9759">
      <w:bodyDiv w:val="1"/>
      <w:marLeft w:val="0"/>
      <w:marRight w:val="0"/>
      <w:marTop w:val="0"/>
      <w:marBottom w:val="0"/>
      <w:divBdr>
        <w:top w:val="none" w:sz="0" w:space="0" w:color="auto"/>
        <w:left w:val="none" w:sz="0" w:space="0" w:color="auto"/>
        <w:bottom w:val="none" w:sz="0" w:space="0" w:color="auto"/>
        <w:right w:val="none" w:sz="0" w:space="0" w:color="auto"/>
      </w:divBdr>
      <w:divsChild>
        <w:div w:id="1168641331">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2003042566">
              <w:marLeft w:val="0"/>
              <w:marRight w:val="0"/>
              <w:marTop w:val="0"/>
              <w:marBottom w:val="0"/>
              <w:divBdr>
                <w:top w:val="none" w:sz="0" w:space="0" w:color="auto"/>
                <w:left w:val="none" w:sz="0" w:space="0" w:color="auto"/>
                <w:bottom w:val="none" w:sz="0" w:space="0" w:color="auto"/>
                <w:right w:val="none" w:sz="0" w:space="0" w:color="auto"/>
              </w:divBdr>
              <w:divsChild>
                <w:div w:id="1551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66135">
      <w:bodyDiv w:val="1"/>
      <w:marLeft w:val="0"/>
      <w:marRight w:val="0"/>
      <w:marTop w:val="0"/>
      <w:marBottom w:val="0"/>
      <w:divBdr>
        <w:top w:val="none" w:sz="0" w:space="0" w:color="auto"/>
        <w:left w:val="none" w:sz="0" w:space="0" w:color="auto"/>
        <w:bottom w:val="none" w:sz="0" w:space="0" w:color="auto"/>
        <w:right w:val="none" w:sz="0" w:space="0" w:color="auto"/>
      </w:divBdr>
      <w:divsChild>
        <w:div w:id="886529073">
          <w:marLeft w:val="0"/>
          <w:marRight w:val="0"/>
          <w:marTop w:val="0"/>
          <w:marBottom w:val="0"/>
          <w:divBdr>
            <w:top w:val="none" w:sz="0" w:space="0" w:color="auto"/>
            <w:left w:val="none" w:sz="0" w:space="0" w:color="auto"/>
            <w:bottom w:val="none" w:sz="0" w:space="0" w:color="auto"/>
            <w:right w:val="none" w:sz="0" w:space="0" w:color="auto"/>
          </w:divBdr>
          <w:divsChild>
            <w:div w:id="829828280">
              <w:marLeft w:val="0"/>
              <w:marRight w:val="0"/>
              <w:marTop w:val="75"/>
              <w:marBottom w:val="0"/>
              <w:divBdr>
                <w:top w:val="none" w:sz="0" w:space="0" w:color="auto"/>
                <w:left w:val="none" w:sz="0" w:space="0" w:color="auto"/>
                <w:bottom w:val="none" w:sz="0" w:space="0" w:color="auto"/>
                <w:right w:val="none" w:sz="0" w:space="0" w:color="auto"/>
              </w:divBdr>
              <w:divsChild>
                <w:div w:id="510683745">
                  <w:marLeft w:val="0"/>
                  <w:marRight w:val="0"/>
                  <w:marTop w:val="0"/>
                  <w:marBottom w:val="0"/>
                  <w:divBdr>
                    <w:top w:val="none" w:sz="0" w:space="0" w:color="auto"/>
                    <w:left w:val="none" w:sz="0" w:space="0" w:color="auto"/>
                    <w:bottom w:val="none" w:sz="0" w:space="0" w:color="auto"/>
                    <w:right w:val="none" w:sz="0" w:space="0" w:color="auto"/>
                  </w:divBdr>
                  <w:divsChild>
                    <w:div w:id="731537572">
                      <w:marLeft w:val="0"/>
                      <w:marRight w:val="0"/>
                      <w:marTop w:val="0"/>
                      <w:marBottom w:val="0"/>
                      <w:divBdr>
                        <w:top w:val="none" w:sz="0" w:space="0" w:color="auto"/>
                        <w:left w:val="none" w:sz="0" w:space="0" w:color="auto"/>
                        <w:bottom w:val="none" w:sz="0" w:space="0" w:color="auto"/>
                        <w:right w:val="none" w:sz="0" w:space="0" w:color="auto"/>
                      </w:divBdr>
                      <w:divsChild>
                        <w:div w:id="1311053660">
                          <w:marLeft w:val="0"/>
                          <w:marRight w:val="0"/>
                          <w:marTop w:val="0"/>
                          <w:marBottom w:val="0"/>
                          <w:divBdr>
                            <w:top w:val="none" w:sz="0" w:space="0" w:color="auto"/>
                            <w:left w:val="none" w:sz="0" w:space="0" w:color="auto"/>
                            <w:bottom w:val="none" w:sz="0" w:space="0" w:color="auto"/>
                            <w:right w:val="none" w:sz="0" w:space="0" w:color="auto"/>
                          </w:divBdr>
                          <w:divsChild>
                            <w:div w:id="833182114">
                              <w:marLeft w:val="105"/>
                              <w:marRight w:val="105"/>
                              <w:marTop w:val="105"/>
                              <w:marBottom w:val="105"/>
                              <w:divBdr>
                                <w:top w:val="none" w:sz="0" w:space="0" w:color="auto"/>
                                <w:left w:val="none" w:sz="0" w:space="0" w:color="auto"/>
                                <w:bottom w:val="none" w:sz="0" w:space="0" w:color="auto"/>
                                <w:right w:val="none" w:sz="0" w:space="0" w:color="auto"/>
                              </w:divBdr>
                              <w:divsChild>
                                <w:div w:id="1805080059">
                                  <w:marLeft w:val="0"/>
                                  <w:marRight w:val="0"/>
                                  <w:marTop w:val="0"/>
                                  <w:marBottom w:val="0"/>
                                  <w:divBdr>
                                    <w:top w:val="none" w:sz="0" w:space="0" w:color="auto"/>
                                    <w:left w:val="none" w:sz="0" w:space="0" w:color="auto"/>
                                    <w:bottom w:val="none" w:sz="0" w:space="0" w:color="auto"/>
                                    <w:right w:val="none" w:sz="0" w:space="0" w:color="auto"/>
                                  </w:divBdr>
                                  <w:divsChild>
                                    <w:div w:id="1497769012">
                                      <w:marLeft w:val="0"/>
                                      <w:marRight w:val="0"/>
                                      <w:marTop w:val="0"/>
                                      <w:marBottom w:val="0"/>
                                      <w:divBdr>
                                        <w:top w:val="none" w:sz="0" w:space="0" w:color="auto"/>
                                        <w:left w:val="none" w:sz="0" w:space="0" w:color="auto"/>
                                        <w:bottom w:val="none" w:sz="0" w:space="0" w:color="auto"/>
                                        <w:right w:val="none" w:sz="0" w:space="0" w:color="auto"/>
                                      </w:divBdr>
                                      <w:divsChild>
                                        <w:div w:id="789860824">
                                          <w:marLeft w:val="0"/>
                                          <w:marRight w:val="0"/>
                                          <w:marTop w:val="0"/>
                                          <w:marBottom w:val="0"/>
                                          <w:divBdr>
                                            <w:top w:val="none" w:sz="0" w:space="0" w:color="auto"/>
                                            <w:left w:val="none" w:sz="0" w:space="0" w:color="auto"/>
                                            <w:bottom w:val="none" w:sz="0" w:space="0" w:color="auto"/>
                                            <w:right w:val="none" w:sz="0" w:space="0" w:color="auto"/>
                                          </w:divBdr>
                                          <w:divsChild>
                                            <w:div w:id="15878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5474619">
      <w:bodyDiv w:val="1"/>
      <w:marLeft w:val="0"/>
      <w:marRight w:val="0"/>
      <w:marTop w:val="0"/>
      <w:marBottom w:val="0"/>
      <w:divBdr>
        <w:top w:val="none" w:sz="0" w:space="0" w:color="auto"/>
        <w:left w:val="none" w:sz="0" w:space="0" w:color="auto"/>
        <w:bottom w:val="none" w:sz="0" w:space="0" w:color="auto"/>
        <w:right w:val="none" w:sz="0" w:space="0" w:color="auto"/>
      </w:divBdr>
      <w:divsChild>
        <w:div w:id="1813020357">
          <w:blockQuote w:val="1"/>
          <w:marLeft w:val="0"/>
          <w:marRight w:val="0"/>
          <w:marTop w:val="240"/>
          <w:marBottom w:val="240"/>
          <w:divBdr>
            <w:top w:val="none" w:sz="0" w:space="0" w:color="auto"/>
            <w:left w:val="single" w:sz="6" w:space="14" w:color="0088CC"/>
            <w:bottom w:val="none" w:sz="0" w:space="0" w:color="auto"/>
            <w:right w:val="none" w:sz="0" w:space="0" w:color="auto"/>
          </w:divBdr>
          <w:divsChild>
            <w:div w:id="530068393">
              <w:marLeft w:val="0"/>
              <w:marRight w:val="0"/>
              <w:marTop w:val="0"/>
              <w:marBottom w:val="0"/>
              <w:divBdr>
                <w:top w:val="none" w:sz="0" w:space="0" w:color="auto"/>
                <w:left w:val="none" w:sz="0" w:space="0" w:color="auto"/>
                <w:bottom w:val="none" w:sz="0" w:space="0" w:color="auto"/>
                <w:right w:val="none" w:sz="0" w:space="0" w:color="auto"/>
              </w:divBdr>
              <w:divsChild>
                <w:div w:id="5667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ur-lex.europa.eu/legal-content/FR/TXT/?qid=1425911443930&amp;uri=CELEX:02014D0687-20140930" TargetMode="External"/><Relationship Id="rId18" Type="http://schemas.openxmlformats.org/officeDocument/2006/relationships/hyperlink" Target="http://eur-lex.europa.eu/legal-content/FR/TXT/?uri=uriserv:OJ.L_.2017.212.01.0001.01.FRA&amp;toc=OJ:L:2017:212:TOC"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gif"/><Relationship Id="rId7" Type="http://schemas.openxmlformats.org/officeDocument/2006/relationships/endnotes" Target="endnotes.xml"/><Relationship Id="rId12" Type="http://schemas.openxmlformats.org/officeDocument/2006/relationships/hyperlink" Target="http://eur-lex.europa.eu/LexUriServ/LexUriServ.do?uri=OJ:L:2013:332:0034:0048:FR:PDF" TargetMode="External"/><Relationship Id="rId17" Type="http://schemas.openxmlformats.org/officeDocument/2006/relationships/hyperlink" Target="http://eur-lex.europa.eu/legal-content/FR/TXT/?uri=uriserv:OJ.L_.2016.174.01.0032.01.FRA&amp;toc=OJ:L:2016:174:TOC" TargetMode="External"/><Relationship Id="rId25" Type="http://schemas.openxmlformats.org/officeDocument/2006/relationships/hyperlink" Target="https://www.ecologique-solidaire.gouv.fr/direction-generale-prevention-des-risques-dgpr" TargetMode="External"/><Relationship Id="rId2" Type="http://schemas.openxmlformats.org/officeDocument/2006/relationships/numbering" Target="numbering.xml"/><Relationship Id="rId16" Type="http://schemas.openxmlformats.org/officeDocument/2006/relationships/hyperlink" Target="https://www.legifrance.gouv.fr/affichTexte.do?cidTexte=JORFTEXT000032553378&amp;dateTexte=20160824" TargetMode="External"/><Relationship Id="rId20" Type="http://schemas.openxmlformats.org/officeDocument/2006/relationships/hyperlink" Target="http://eippcb.jrc.ec.europa.eu/referen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eris.fr/aida/consultation_document/24148" TargetMode="External"/><Relationship Id="rId24" Type="http://schemas.openxmlformats.org/officeDocument/2006/relationships/hyperlink" Target="http://www.installationsclassees.developpement-durable.gouv.fr/IMG/pdf/Guide_IED_v2.pdf" TargetMode="External"/><Relationship Id="rId5" Type="http://schemas.openxmlformats.org/officeDocument/2006/relationships/webSettings" Target="webSettings.xml"/><Relationship Id="rId15" Type="http://schemas.openxmlformats.org/officeDocument/2006/relationships/hyperlink" Target="http://eur-lex.europa.eu/legal-content/FR/TXT/?uri=uriserv:OJ.L_.2015.306.01.0031.01.FRA&amp;toc=OJ:L:2015:306:TOC" TargetMode="External"/><Relationship Id="rId23" Type="http://schemas.openxmlformats.org/officeDocument/2006/relationships/hyperlink" Target="http://ied.ineris.fr" TargetMode="External"/><Relationship Id="rId28" Type="http://schemas.openxmlformats.org/officeDocument/2006/relationships/fontTable" Target="fontTable.xml"/><Relationship Id="rId10" Type="http://schemas.openxmlformats.org/officeDocument/2006/relationships/hyperlink" Target="http://www.ineris.fr/aida/consultation_document/23674" TargetMode="External"/><Relationship Id="rId19" Type="http://schemas.openxmlformats.org/officeDocument/2006/relationships/hyperlink" Target="http://ied.ineris.fr/documents_bre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ur-lex.europa.eu/legal-content/FR/TXT/?uri=uriserv:OJ.L_.2014.307.01.0038.01.FRA" TargetMode="External"/><Relationship Id="rId22" Type="http://schemas.openxmlformats.org/officeDocument/2006/relationships/hyperlink" Target="http://www.installationsclassees.developpement-durable.gouv.fr/Publication-du-Guide-dedemande-de.html"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AA17F-2370-44AC-90D8-69B48FA1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1568</Words>
  <Characters>8627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FENARIVE FENARIVE</dc:creator>
  <cp:keywords/>
  <dc:description/>
  <cp:lastModifiedBy>FENARIVE FENARIVE</cp:lastModifiedBy>
  <cp:revision>29</cp:revision>
  <dcterms:created xsi:type="dcterms:W3CDTF">2016-02-26T13:56:00Z</dcterms:created>
  <dcterms:modified xsi:type="dcterms:W3CDTF">2017-11-06T14:55:00Z</dcterms:modified>
</cp:coreProperties>
</file>