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9BF99C" w14:textId="266CB0C1" w:rsidR="00F46CC9" w:rsidRDefault="00F46CC9" w:rsidP="00AC3B30">
      <w:pPr>
        <w:spacing w:before="100" w:beforeAutospacing="1" w:after="240" w:line="240" w:lineRule="auto"/>
        <w:jc w:val="both"/>
      </w:pPr>
      <w:r>
        <w:rPr>
          <w:noProof/>
          <w:lang w:eastAsia="fr-FR"/>
        </w:rPr>
        <mc:AlternateContent>
          <mc:Choice Requires="wps">
            <w:drawing>
              <wp:anchor distT="0" distB="0" distL="114300" distR="114300" simplePos="0" relativeHeight="251659264" behindDoc="0" locked="0" layoutInCell="1" allowOverlap="1" wp14:anchorId="32C59A3B" wp14:editId="3F336810">
                <wp:simplePos x="0" y="0"/>
                <wp:positionH relativeFrom="column">
                  <wp:posOffset>-109220</wp:posOffset>
                </wp:positionH>
                <wp:positionV relativeFrom="paragraph">
                  <wp:posOffset>198755</wp:posOffset>
                </wp:positionV>
                <wp:extent cx="6200775" cy="1143000"/>
                <wp:effectExtent l="0" t="0" r="28575" b="190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775" cy="1143000"/>
                        </a:xfrm>
                        <a:prstGeom prst="rect">
                          <a:avLst/>
                        </a:prstGeom>
                        <a:solidFill>
                          <a:schemeClr val="bg1">
                            <a:lumMod val="95000"/>
                            <a:lumOff val="0"/>
                          </a:schemeClr>
                        </a:solidFill>
                        <a:ln w="12700" cap="flat" cmpd="sng" algn="ctr">
                          <a:solidFill>
                            <a:schemeClr val="accent5">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93A930B" w14:textId="37062BDA" w:rsidR="00F46CC9" w:rsidRDefault="00F46CC9" w:rsidP="00F46CC9">
                            <w:pPr>
                              <w:spacing w:line="240" w:lineRule="auto"/>
                              <w:jc w:val="center"/>
                              <w:rPr>
                                <w:b/>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b/>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Les  </w:t>
                            </w:r>
                            <w:r w:rsidR="00BA5A02">
                              <w:rPr>
                                <w:b/>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s</w:t>
                            </w:r>
                            <w:r w:rsidRPr="00F46CC9">
                              <w:rPr>
                                <w:b/>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ubstances dangereuses pour l’environnement (SDE)</w:t>
                            </w:r>
                          </w:p>
                          <w:p w14:paraId="39D5C041" w14:textId="77777777" w:rsidR="00F46CC9" w:rsidRPr="00A16433" w:rsidRDefault="00F46CC9" w:rsidP="00F46CC9">
                            <w:pPr>
                              <w:spacing w:line="240" w:lineRule="auto"/>
                              <w:jc w:val="center"/>
                              <w:rPr>
                                <w:b/>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2C59A3B" id="Rectangle 2" o:spid="_x0000_s1026" style="position:absolute;left:0;text-align:left;margin-left:-8.6pt;margin-top:15.65pt;width:488.2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uEz/gIAAEQGAAAOAAAAZHJzL2Uyb0RvYy54bWysVFtv0zAUfkfiP1h+75K06WXR0qnrWoQ0&#10;YGIgnl3HSSwcO9hukw3x3zm225KxF0AoUuTjy3e+c/nO1XXfCHRg2nAlc5xcxBgxSVXBZZXjz5+2&#10;owVGxhJZEKEky/EjM/h6+frVVddmbKxqJQqmEYBIk3Vtjmtr2yyKDK1ZQ8yFapmEw1LphlgwdRUV&#10;mnSA3ohoHMezqFO6aLWizBjYvQ2HeOnxy5JR+6EsDbNI5Bi4Wf/X/r9z/2h5RbJKk7bm9EiD/AOL&#10;hnAJTs9Qt8QStNf8BVTDqVZGlfaCqiZSZckp8zFANEn8WzQPNWmZjwWSY9pzmsz/g6XvD/ca8SLH&#10;E4wkaaBEHyFpRFaCobFLT9eaDG49tPfaBWjaO0W/GiTVuoZbbKW16mpGCiCVuPvRswfOMPAU7bp3&#10;qgB0srfKZ6ovdeMAIQeo9wV5PBeE9RZR2JxBiefzKUYUzpIkncSxL1lEstPzVhv7hqkGuUWONZD3&#10;8ORwZ6yjQ7LTFU9fCV5suRDecF3G1kKjA4H+2FWJfyr2DXANe5fTo0uSwTb0Utg+sfB96hC8IzME&#10;FxJ1QHo8B8qIEujtUhALy6aFbBtZYUREBaKhVnu3z16fgYM/QimTdvqCXgLsQkr+mp/Lyi0xdXDg&#10;nQc1NNyCJAVvcrwYwLsab2ThBWMJF2EN6RXS5ZJ5sYWcg9VbWPp9KKUXwvfVdhrP08liBBWdjNLJ&#10;Jh7dLLbr0WqdzGbzzc36ZpP8cBEmaVbzomBy4zHNSZdJ+md9f5wQQVFnZZ4JOlZqDzE+1EWHCu7a&#10;ZjK9HCcYDBgNrmIuqYPyIK3sF25rL0jXpQ7D6Gp37p3FzH2+/wfovisGjqMXsYUbPaQKMnnKmpeQ&#10;U01Qn+13/VGIO1U8gpiAjlcMDF5Y1Eo/YdTBEIO++rYnmmEk3koQ5GWSpm7qeSOdzsdg6OHJbnhC&#10;JAWo0JAoGGsbZuW+1byqwVdQiFQrkHHJvcCcxAMvCMIZMKp8OMex6mbh0Pa3fg3/5U8AAAD//wMA&#10;UEsDBBQABgAIAAAAIQDo/+/L3QAAAAoBAAAPAAAAZHJzL2Rvd25yZXYueG1sTI/LTsMwEEX3SPyD&#10;NUjsWiepGtqQSVVVYsMKUmDtxq4dET8UO2369wwr2M3j6M6ZejfbgV3UGHvvEPJlBky5zsveaYSP&#10;48tiAywm4aQYvFMINxVh19zf1aKS/ure1aVNmlGIi5VAMCmFivPYGWVFXPqgHO3OfrQiUTtqLkdx&#10;pXA78CLLSm5F7+iCEUEdjOq+28kivH7etJm++KHzOqzbIryVJd8jPj7M+2dgSc3pD4ZffVKHhpxO&#10;fnIysgFhkT8VhCKs8hUwArbrLRUnhCKnCW9q/v+F5gcAAP//AwBQSwECLQAUAAYACAAAACEAtoM4&#10;kv4AAADhAQAAEwAAAAAAAAAAAAAAAAAAAAAAW0NvbnRlbnRfVHlwZXNdLnhtbFBLAQItABQABgAI&#10;AAAAIQA4/SH/1gAAAJQBAAALAAAAAAAAAAAAAAAAAC8BAABfcmVscy8ucmVsc1BLAQItABQABgAI&#10;AAAAIQByYuEz/gIAAEQGAAAOAAAAAAAAAAAAAAAAAC4CAABkcnMvZTJvRG9jLnhtbFBLAQItABQA&#10;BgAIAAAAIQDo/+/L3QAAAAoBAAAPAAAAAAAAAAAAAAAAAFgFAABkcnMvZG93bnJldi54bWxQSwUG&#10;AAAAAAQABADzAAAAYgYAAAAA&#10;" fillcolor="#f2f2f2 [3052]" strokecolor="#4472c4 [3208]" strokeweight="1pt">
                <v:shadow color="#868686"/>
                <v:textbox>
                  <w:txbxContent>
                    <w:p w14:paraId="693A930B" w14:textId="37062BDA" w:rsidR="00F46CC9" w:rsidRDefault="00F46CC9" w:rsidP="00F46CC9">
                      <w:pPr>
                        <w:spacing w:line="240" w:lineRule="auto"/>
                        <w:jc w:val="center"/>
                        <w:rPr>
                          <w:b/>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b/>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Les  </w:t>
                      </w:r>
                      <w:r w:rsidR="00BA5A02">
                        <w:rPr>
                          <w:b/>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s</w:t>
                      </w:r>
                      <w:r w:rsidRPr="00F46CC9">
                        <w:rPr>
                          <w:b/>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ubstances dangereuses pour l’environnement (SDE)</w:t>
                      </w:r>
                    </w:p>
                    <w:p w14:paraId="39D5C041" w14:textId="77777777" w:rsidR="00F46CC9" w:rsidRPr="00A16433" w:rsidRDefault="00F46CC9" w:rsidP="00F46CC9">
                      <w:pPr>
                        <w:spacing w:line="240" w:lineRule="auto"/>
                        <w:jc w:val="center"/>
                        <w:rPr>
                          <w:b/>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xbxContent>
                </v:textbox>
              </v:rect>
            </w:pict>
          </mc:Fallback>
        </mc:AlternateContent>
      </w:r>
    </w:p>
    <w:p w14:paraId="45C3ACF7" w14:textId="77777777" w:rsidR="00F46CC9" w:rsidRDefault="00F46CC9" w:rsidP="00AC3B30">
      <w:pPr>
        <w:spacing w:before="100" w:beforeAutospacing="1" w:after="240" w:line="240" w:lineRule="auto"/>
        <w:jc w:val="both"/>
      </w:pPr>
    </w:p>
    <w:p w14:paraId="7ECF4AA8" w14:textId="77777777" w:rsidR="00F46CC9" w:rsidRDefault="00F46CC9" w:rsidP="00AC3B30">
      <w:pPr>
        <w:spacing w:before="100" w:beforeAutospacing="1" w:after="240" w:line="240" w:lineRule="auto"/>
        <w:jc w:val="both"/>
      </w:pPr>
    </w:p>
    <w:p w14:paraId="49016619" w14:textId="77777777" w:rsidR="00F46CC9" w:rsidRDefault="00F46CC9" w:rsidP="00AC3B30">
      <w:pPr>
        <w:spacing w:before="100" w:beforeAutospacing="1" w:after="240" w:line="240" w:lineRule="auto"/>
        <w:jc w:val="both"/>
      </w:pPr>
    </w:p>
    <w:p w14:paraId="460010DD" w14:textId="77777777" w:rsidR="001A0001" w:rsidRDefault="001A0001" w:rsidP="00AC3B30">
      <w:pPr>
        <w:spacing w:before="100" w:beforeAutospacing="1" w:after="240" w:line="240" w:lineRule="auto"/>
        <w:jc w:val="both"/>
      </w:pPr>
    </w:p>
    <w:p w14:paraId="01D50DE0" w14:textId="53F7AB9E" w:rsidR="001A0001" w:rsidRDefault="001A0001" w:rsidP="00AC3B30">
      <w:pPr>
        <w:spacing w:before="100" w:beforeAutospacing="1" w:after="240" w:line="240" w:lineRule="auto"/>
        <w:jc w:val="both"/>
        <w:rPr>
          <w:b/>
          <w:color w:val="FF0000"/>
          <w:sz w:val="36"/>
          <w:szCs w:val="36"/>
        </w:rPr>
      </w:pPr>
      <w:r w:rsidRPr="001A0001">
        <w:t>La LEMA</w:t>
      </w:r>
      <w:r w:rsidR="00F12758">
        <w:rPr>
          <w:rStyle w:val="Appelnotedebasdep"/>
        </w:rPr>
        <w:footnoteReference w:id="1"/>
      </w:r>
      <w:r>
        <w:t xml:space="preserve"> a introduit les redevances pour pollution d’origine non domestique, pour les « assujettis », c’est-à-dire les </w:t>
      </w:r>
      <w:r w:rsidRPr="001A0001">
        <w:t>usager</w:t>
      </w:r>
      <w:r>
        <w:t>s</w:t>
      </w:r>
      <w:r w:rsidRPr="001A0001">
        <w:t xml:space="preserve"> non domestique</w:t>
      </w:r>
      <w:r>
        <w:t>s</w:t>
      </w:r>
      <w:r w:rsidRPr="001A0001">
        <w:t xml:space="preserve"> à l’origine d’un déversement,</w:t>
      </w:r>
      <w:r>
        <w:t xml:space="preserve"> d’un rejet, d’un dépôt, s</w:t>
      </w:r>
      <w:r w:rsidRPr="001A0001">
        <w:t>usceptible de dégrader le milieu naturel</w:t>
      </w:r>
      <w:r>
        <w:t>.</w:t>
      </w:r>
    </w:p>
    <w:p w14:paraId="46110D04" w14:textId="77777777" w:rsidR="001A0001" w:rsidRDefault="005D01EB" w:rsidP="00AC3B30">
      <w:pPr>
        <w:spacing w:before="100" w:beforeAutospacing="1" w:after="240" w:line="240" w:lineRule="auto"/>
        <w:jc w:val="both"/>
        <w:rPr>
          <w:b/>
          <w:color w:val="FF0000"/>
          <w:sz w:val="36"/>
          <w:szCs w:val="36"/>
        </w:rPr>
      </w:pPr>
      <w:r>
        <w:rPr>
          <w:b/>
          <w:color w:val="FF0000"/>
          <w:sz w:val="36"/>
          <w:szCs w:val="36"/>
        </w:rPr>
        <w:t>Le paramètre SDE : 16</w:t>
      </w:r>
      <w:r w:rsidR="004D01A7" w:rsidRPr="00FC2346">
        <w:rPr>
          <w:b/>
          <w:color w:val="FF0000"/>
          <w:sz w:val="36"/>
          <w:szCs w:val="36"/>
        </w:rPr>
        <w:t xml:space="preserve"> nouvelles </w:t>
      </w:r>
      <w:r w:rsidR="00F46CC9">
        <w:rPr>
          <w:b/>
          <w:color w:val="FF0000"/>
          <w:sz w:val="36"/>
          <w:szCs w:val="36"/>
        </w:rPr>
        <w:t>molécules</w:t>
      </w:r>
      <w:r w:rsidR="00E84229">
        <w:rPr>
          <w:b/>
          <w:color w:val="FF0000"/>
          <w:sz w:val="36"/>
          <w:szCs w:val="36"/>
        </w:rPr>
        <w:t xml:space="preserve">      </w:t>
      </w:r>
    </w:p>
    <w:p w14:paraId="22E44EE8" w14:textId="63066BB0" w:rsidR="004D01A7" w:rsidRPr="00FC2346" w:rsidRDefault="001A0001" w:rsidP="00AC3B30">
      <w:pPr>
        <w:spacing w:before="100" w:beforeAutospacing="1" w:after="240" w:line="240" w:lineRule="auto"/>
        <w:jc w:val="both"/>
        <w:rPr>
          <w:b/>
          <w:color w:val="FF0000"/>
          <w:sz w:val="36"/>
          <w:szCs w:val="36"/>
        </w:rPr>
      </w:pPr>
      <w:r w:rsidRPr="001A0001">
        <w:t xml:space="preserve"> </w:t>
      </w:r>
      <w:r w:rsidR="00DA0F89">
        <w:rPr>
          <w:b/>
          <w:noProof/>
          <w:color w:val="FF0000"/>
          <w:sz w:val="36"/>
          <w:szCs w:val="36"/>
          <w:lang w:eastAsia="fr-FR"/>
        </w:rPr>
        <mc:AlternateContent>
          <mc:Choice Requires="wps">
            <w:drawing>
              <wp:anchor distT="0" distB="0" distL="114300" distR="114300" simplePos="0" relativeHeight="251660288" behindDoc="0" locked="0" layoutInCell="1" allowOverlap="1" wp14:anchorId="472CE852" wp14:editId="272D1323">
                <wp:simplePos x="0" y="0"/>
                <wp:positionH relativeFrom="column">
                  <wp:posOffset>33654</wp:posOffset>
                </wp:positionH>
                <wp:positionV relativeFrom="paragraph">
                  <wp:posOffset>97790</wp:posOffset>
                </wp:positionV>
                <wp:extent cx="4429125" cy="1047750"/>
                <wp:effectExtent l="0" t="0" r="9525" b="0"/>
                <wp:wrapNone/>
                <wp:docPr id="6" name="Zone de texte 6"/>
                <wp:cNvGraphicFramePr/>
                <a:graphic xmlns:a="http://schemas.openxmlformats.org/drawingml/2006/main">
                  <a:graphicData uri="http://schemas.microsoft.com/office/word/2010/wordprocessingShape">
                    <wps:wsp>
                      <wps:cNvSpPr txBox="1"/>
                      <wps:spPr>
                        <a:xfrm>
                          <a:off x="0" y="0"/>
                          <a:ext cx="4429125" cy="1047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290FC2E" w14:textId="77777777" w:rsidR="00DA0F89" w:rsidRDefault="00DA0F89" w:rsidP="00DA0F89">
                            <w:pPr>
                              <w:jc w:val="both"/>
                            </w:pPr>
                            <w:r>
                              <w:t>L</w:t>
                            </w:r>
                            <w:r w:rsidRPr="0049322A">
                              <w:t xml:space="preserve">a </w:t>
                            </w:r>
                            <w:hyperlink r:id="rId8" w:tgtFrame="_blank" w:history="1">
                              <w:r w:rsidRPr="0049322A">
                                <w:t>loi de finances pour 2012</w:t>
                              </w:r>
                            </w:hyperlink>
                            <w:r w:rsidRPr="0049322A">
                              <w:t xml:space="preserve"> a élargi l'assiette de la redevance pour pollution d'origine non domestique aux substances dangereuses pour l'environnement</w:t>
                            </w:r>
                            <w:r>
                              <w:t xml:space="preserve"> (SDE)</w:t>
                            </w:r>
                            <w:r w:rsidRPr="0049322A">
                              <w:t xml:space="preserve">. </w:t>
                            </w:r>
                          </w:p>
                          <w:p w14:paraId="755468EA" w14:textId="3F27593C" w:rsidR="00DA0F89" w:rsidRDefault="00DA0F89" w:rsidP="00DA0F89">
                            <w:pPr>
                              <w:jc w:val="both"/>
                            </w:pPr>
                            <w:r>
                              <w:t xml:space="preserve">Cela complète le </w:t>
                            </w:r>
                            <w:r w:rsidRPr="000A1F5F">
                              <w:t>dispositif</w:t>
                            </w:r>
                            <w:r>
                              <w:t xml:space="preserve"> Redevance sur le volet Pollution toxique.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2CE852" id="_x0000_t202" coordsize="21600,21600" o:spt="202" path="m,l,21600r21600,l21600,xe">
                <v:stroke joinstyle="miter"/>
                <v:path gradientshapeok="t" o:connecttype="rect"/>
              </v:shapetype>
              <v:shape id="Zone de texte 6" o:spid="_x0000_s1027" type="#_x0000_t202" style="position:absolute;left:0;text-align:left;margin-left:2.65pt;margin-top:7.7pt;width:348.75pt;height: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n6WkwIAAJcFAAAOAAAAZHJzL2Uyb0RvYy54bWysVE1vEzEQvSPxHyzf6SYhbWnUTRVaFSFV&#10;tKJFlbg5XrtZ4fUY20k2/HqevZsPSi9FXHbHnjcznjcf5xdtY9hK+VCTLfnwaMCZspKq2j6V/NvD&#10;9bsPnIUobCUMWVXyjQr8Yvr2zfnaTdSIFmQq5Rmc2DBZu5IvYnSToghyoRoRjsgpC6Um34iIo38q&#10;Ki/W8N6YYjQYnBRr8pXzJFUIuL3qlHya/WutZLzVOqjITMnxtpi/Pn/n6VtMz8XkyQu3qGX/DPEP&#10;r2hEbRF05+pKRMGWvv7LVVNLT4F0PJLUFKR1LVXOAdkMB8+yuV8Ip3IuICe4HU3h/7mVX1Z3ntVV&#10;yU84s6JBib6jUKxSLKo2KnaSKFq7MAHy3gEb24/UotTb+4DLlHmrfZP+yIlBD7I3O4LhiUlcjsej&#10;s+HomDMJ3XAwPj09ziUo9ubOh/hJUcOSUHKPCmZixeomRDwF0C0kRQtk6uq6NiYfUteoS+PZSqDe&#10;JuZHwuIPlLFsjXTfI3QyspTMO8/GphuV+6YPl1LvUsxS3BiVMMZ+VRq85UxfiC2kVHYXP6MTSiPU&#10;awx7/P5VrzHu8oBFjkw27oyb2pLP2edB21NW/dhSpjs8CD/IO4mxnbe5YXYdMKdqg8bw1E1XcPK6&#10;RvFuRIh3wmOc0AtYEfEWH20I5FMvcbYg/+ul+4RHl0PL2RrjWfLwcym84sx8tuj/s+F4nOY5H8bH&#10;pyMc/KFmfqixy+aS0BFDLCMns5jw0WxF7al5xCaZpahQCSsRu+RxK17GbmlgE0k1m2UQJtiJeGPv&#10;nUyuE8upNR/aR+Fd379piL7QdpDF5Fkbd9hkaWm2jKTr3OOJ547Vnn9Mf279flOl9XJ4zqj9Pp3+&#10;BgAA//8DAFBLAwQUAAYACAAAACEAPlibX98AAAAIAQAADwAAAGRycy9kb3ducmV2LnhtbEyPS0/D&#10;MBCE70j8B2uRuCBq0zS0CnEqhHhIvdHwEDc3XpKIeB3FbhL+PcsJjjszmv0m386uEyMOofWk4Wqh&#10;QCBV3rZUa3gpHy43IEI0ZE3nCTV8Y4BtcXqSm8z6iZ5x3MdacAmFzGhoYuwzKUPVoDNh4Xsk9j79&#10;4Ezkc6ilHczE5a6TS6WupTMt8YfG9HjXYPW1PzoNHxf1+y7Mj69Tkib9/dNYrt9sqfX52Xx7AyLi&#10;HP/C8IvP6FAw08EfyQbRaUgTDrKcrkCwvVZLXnJgYaNWIItc/h9Q/AAAAP//AwBQSwECLQAUAAYA&#10;CAAAACEAtoM4kv4AAADhAQAAEwAAAAAAAAAAAAAAAAAAAAAAW0NvbnRlbnRfVHlwZXNdLnhtbFBL&#10;AQItABQABgAIAAAAIQA4/SH/1gAAAJQBAAALAAAAAAAAAAAAAAAAAC8BAABfcmVscy8ucmVsc1BL&#10;AQItABQABgAIAAAAIQDMqn6WkwIAAJcFAAAOAAAAAAAAAAAAAAAAAC4CAABkcnMvZTJvRG9jLnht&#10;bFBLAQItABQABgAIAAAAIQA+WJtf3wAAAAgBAAAPAAAAAAAAAAAAAAAAAO0EAABkcnMvZG93bnJl&#10;di54bWxQSwUGAAAAAAQABADzAAAA+QUAAAAA&#10;" fillcolor="white [3201]" stroked="f" strokeweight=".5pt">
                <v:textbox>
                  <w:txbxContent>
                    <w:p w14:paraId="7290FC2E" w14:textId="77777777" w:rsidR="00DA0F89" w:rsidRDefault="00DA0F89" w:rsidP="00DA0F89">
                      <w:pPr>
                        <w:jc w:val="both"/>
                      </w:pPr>
                      <w:r>
                        <w:t>L</w:t>
                      </w:r>
                      <w:r w:rsidRPr="0049322A">
                        <w:t xml:space="preserve">a </w:t>
                      </w:r>
                      <w:hyperlink r:id="rId9" w:tgtFrame="_blank" w:history="1">
                        <w:r w:rsidRPr="0049322A">
                          <w:t>loi de finances pour 2012</w:t>
                        </w:r>
                      </w:hyperlink>
                      <w:r w:rsidRPr="0049322A">
                        <w:t xml:space="preserve"> a élargi l'assiette de la redevance pour pollution d'origine non domestique aux substances dangereuses pour l'environnement</w:t>
                      </w:r>
                      <w:r>
                        <w:t xml:space="preserve"> (SDE)</w:t>
                      </w:r>
                      <w:r w:rsidRPr="0049322A">
                        <w:t xml:space="preserve">. </w:t>
                      </w:r>
                    </w:p>
                    <w:p w14:paraId="755468EA" w14:textId="3F27593C" w:rsidR="00DA0F89" w:rsidRDefault="00DA0F89" w:rsidP="00DA0F89">
                      <w:pPr>
                        <w:jc w:val="both"/>
                      </w:pPr>
                      <w:r>
                        <w:t xml:space="preserve">Cela complète le </w:t>
                      </w:r>
                      <w:r w:rsidRPr="000A1F5F">
                        <w:t>dispositif</w:t>
                      </w:r>
                      <w:r>
                        <w:t xml:space="preserve"> Redevance sur le volet Pollution toxique.</w:t>
                      </w:r>
                    </w:p>
                  </w:txbxContent>
                </v:textbox>
              </v:shape>
            </w:pict>
          </mc:Fallback>
        </mc:AlternateContent>
      </w:r>
      <w:r w:rsidR="00E84229">
        <w:rPr>
          <w:b/>
          <w:color w:val="FF0000"/>
          <w:sz w:val="36"/>
          <w:szCs w:val="36"/>
        </w:rPr>
        <w:t xml:space="preserve"> </w:t>
      </w:r>
      <w:r w:rsidR="00DA0F89">
        <w:rPr>
          <w:b/>
          <w:color w:val="FF0000"/>
          <w:sz w:val="36"/>
          <w:szCs w:val="36"/>
        </w:rPr>
        <w:tab/>
      </w:r>
      <w:r w:rsidR="00DA0F89">
        <w:rPr>
          <w:b/>
          <w:color w:val="FF0000"/>
          <w:sz w:val="36"/>
          <w:szCs w:val="36"/>
        </w:rPr>
        <w:tab/>
      </w:r>
      <w:r w:rsidR="00DA0F89">
        <w:rPr>
          <w:b/>
          <w:color w:val="FF0000"/>
          <w:sz w:val="36"/>
          <w:szCs w:val="36"/>
        </w:rPr>
        <w:tab/>
      </w:r>
      <w:r w:rsidR="00DA0F89">
        <w:rPr>
          <w:b/>
          <w:color w:val="FF0000"/>
          <w:sz w:val="36"/>
          <w:szCs w:val="36"/>
        </w:rPr>
        <w:tab/>
      </w:r>
      <w:r w:rsidR="00DA0F89">
        <w:rPr>
          <w:b/>
          <w:color w:val="FF0000"/>
          <w:sz w:val="36"/>
          <w:szCs w:val="36"/>
        </w:rPr>
        <w:tab/>
      </w:r>
      <w:r w:rsidR="00DA0F89">
        <w:rPr>
          <w:b/>
          <w:color w:val="FF0000"/>
          <w:sz w:val="36"/>
          <w:szCs w:val="36"/>
        </w:rPr>
        <w:tab/>
      </w:r>
      <w:r w:rsidR="00DA0F89">
        <w:rPr>
          <w:b/>
          <w:color w:val="FF0000"/>
          <w:sz w:val="36"/>
          <w:szCs w:val="36"/>
        </w:rPr>
        <w:tab/>
      </w:r>
      <w:r w:rsidR="00DA0F89">
        <w:rPr>
          <w:b/>
          <w:color w:val="FF0000"/>
          <w:sz w:val="36"/>
          <w:szCs w:val="36"/>
        </w:rPr>
        <w:tab/>
      </w:r>
      <w:r w:rsidR="00DA0F89">
        <w:rPr>
          <w:b/>
          <w:color w:val="FF0000"/>
          <w:sz w:val="36"/>
          <w:szCs w:val="36"/>
        </w:rPr>
        <w:tab/>
      </w:r>
      <w:r w:rsidR="00DA0F89">
        <w:rPr>
          <w:b/>
          <w:color w:val="FF0000"/>
          <w:sz w:val="36"/>
          <w:szCs w:val="36"/>
        </w:rPr>
        <w:tab/>
      </w:r>
      <w:r w:rsidR="00E84229">
        <w:rPr>
          <w:b/>
          <w:color w:val="FF0000"/>
          <w:sz w:val="36"/>
          <w:szCs w:val="36"/>
        </w:rPr>
        <w:t xml:space="preserve"> </w:t>
      </w:r>
      <w:r w:rsidR="00F46CC9">
        <w:rPr>
          <w:b/>
          <w:color w:val="FF0000"/>
          <w:sz w:val="36"/>
          <w:szCs w:val="36"/>
        </w:rPr>
        <w:t xml:space="preserve"> </w:t>
      </w:r>
      <w:r w:rsidR="00E84229">
        <w:rPr>
          <w:rFonts w:ascii="Arial" w:hAnsi="Arial" w:cs="Arial"/>
          <w:noProof/>
          <w:sz w:val="20"/>
          <w:szCs w:val="20"/>
          <w:lang w:eastAsia="fr-FR"/>
        </w:rPr>
        <w:drawing>
          <wp:inline distT="0" distB="0" distL="0" distR="0" wp14:anchorId="75D2C266" wp14:editId="038DB044">
            <wp:extent cx="1123950" cy="1123950"/>
            <wp:effectExtent l="0" t="0" r="0" b="0"/>
            <wp:docPr id="2" name="Image 2" descr="http://www.espace.cfwb.be/sippt/images/general/Substances/bis/dangerenvir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espace.cfwb.be/sippt/images/general/Substances/bis/dangerenviro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inline>
        </w:drawing>
      </w:r>
    </w:p>
    <w:p w14:paraId="64BFC3C7" w14:textId="7089FA95" w:rsidR="00A27A48" w:rsidRPr="008770F6" w:rsidRDefault="00A27A48" w:rsidP="00AC3B30">
      <w:pPr>
        <w:spacing w:before="100" w:beforeAutospacing="1" w:after="240" w:line="240" w:lineRule="auto"/>
        <w:jc w:val="both"/>
      </w:pPr>
    </w:p>
    <w:tbl>
      <w:tblPr>
        <w:tblpPr w:leftFromText="141" w:rightFromText="141" w:vertAnchor="text" w:horzAnchor="margin" w:tblpY="126"/>
        <w:tblW w:w="9713" w:type="dxa"/>
        <w:tblCellSpacing w:w="2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111"/>
        <w:gridCol w:w="2350"/>
        <w:gridCol w:w="992"/>
        <w:gridCol w:w="3260"/>
      </w:tblGrid>
      <w:tr w:rsidR="002B2103" w:rsidRPr="008770F6" w14:paraId="20F70343" w14:textId="77777777" w:rsidTr="002B2103">
        <w:trPr>
          <w:trHeight w:val="488"/>
          <w:tblCellSpacing w:w="22" w:type="dxa"/>
        </w:trPr>
        <w:tc>
          <w:tcPr>
            <w:tcW w:w="30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BDCA903" w14:textId="77777777" w:rsidR="002B2103" w:rsidRPr="008573B1" w:rsidRDefault="002B2103" w:rsidP="002B2103">
            <w:pPr>
              <w:spacing w:before="100" w:beforeAutospacing="1" w:after="100" w:afterAutospacing="1" w:line="240" w:lineRule="auto"/>
              <w:jc w:val="center"/>
              <w:rPr>
                <w:rFonts w:eastAsia="Times New Roman" w:cs="Times New Roman"/>
                <w:b/>
                <w:color w:val="000000"/>
                <w:lang w:eastAsia="fr-FR"/>
              </w:rPr>
            </w:pPr>
            <w:r w:rsidRPr="008573B1">
              <w:rPr>
                <w:rFonts w:eastAsia="Times New Roman" w:cs="Times New Roman"/>
                <w:b/>
                <w:color w:val="000000"/>
                <w:lang w:eastAsia="fr-FR"/>
              </w:rPr>
              <w:t>16 nouvelles substances</w:t>
            </w:r>
          </w:p>
        </w:tc>
        <w:tc>
          <w:tcPr>
            <w:tcW w:w="230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B4CBD05" w14:textId="77777777" w:rsidR="002B2103" w:rsidRPr="008573B1" w:rsidRDefault="002B2103" w:rsidP="002B2103">
            <w:pPr>
              <w:spacing w:before="100" w:beforeAutospacing="1" w:after="100" w:afterAutospacing="1" w:line="240" w:lineRule="auto"/>
              <w:jc w:val="center"/>
              <w:rPr>
                <w:rFonts w:eastAsia="Times New Roman" w:cs="Times New Roman"/>
                <w:color w:val="000000"/>
                <w:lang w:eastAsia="fr-FR"/>
              </w:rPr>
            </w:pPr>
            <w:r w:rsidRPr="008573B1">
              <w:rPr>
                <w:rFonts w:eastAsia="Times New Roman" w:cs="Times New Roman"/>
                <w:b/>
                <w:bCs/>
                <w:color w:val="000000"/>
                <w:lang w:eastAsia="fr-FR"/>
              </w:rPr>
              <w:t>C</w:t>
            </w:r>
            <w:r>
              <w:rPr>
                <w:rFonts w:eastAsia="Times New Roman" w:cs="Times New Roman"/>
                <w:b/>
                <w:bCs/>
                <w:color w:val="000000"/>
                <w:lang w:eastAsia="fr-FR"/>
              </w:rPr>
              <w:t>ode</w:t>
            </w:r>
            <w:r w:rsidRPr="008573B1">
              <w:rPr>
                <w:rFonts w:eastAsia="Times New Roman" w:cs="Times New Roman"/>
                <w:b/>
                <w:bCs/>
                <w:color w:val="000000"/>
                <w:lang w:eastAsia="fr-FR"/>
              </w:rPr>
              <w:t xml:space="preserve"> </w:t>
            </w:r>
            <w:r w:rsidRPr="008573B1">
              <w:rPr>
                <w:rFonts w:eastAsia="Times New Roman" w:cs="Times New Roman"/>
                <w:b/>
                <w:bCs/>
                <w:color w:val="000000"/>
                <w:lang w:eastAsia="fr-FR"/>
              </w:rPr>
              <w:br/>
              <w:t xml:space="preserve">CAS </w:t>
            </w:r>
          </w:p>
        </w:tc>
        <w:tc>
          <w:tcPr>
            <w:tcW w:w="9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9FC35FF" w14:textId="77777777" w:rsidR="002B2103" w:rsidRPr="008573B1" w:rsidRDefault="002B2103" w:rsidP="002B2103">
            <w:pPr>
              <w:spacing w:before="100" w:beforeAutospacing="1" w:after="100" w:afterAutospacing="1" w:line="240" w:lineRule="auto"/>
              <w:jc w:val="center"/>
              <w:rPr>
                <w:rFonts w:eastAsia="Times New Roman" w:cs="Times New Roman"/>
                <w:color w:val="000000"/>
                <w:lang w:eastAsia="fr-FR"/>
              </w:rPr>
            </w:pPr>
            <w:r w:rsidRPr="008573B1">
              <w:rPr>
                <w:rFonts w:eastAsia="Times New Roman" w:cs="Times New Roman"/>
                <w:b/>
                <w:bCs/>
                <w:color w:val="000000"/>
                <w:lang w:eastAsia="fr-FR"/>
              </w:rPr>
              <w:t>C</w:t>
            </w:r>
            <w:r>
              <w:rPr>
                <w:rFonts w:eastAsia="Times New Roman" w:cs="Times New Roman"/>
                <w:b/>
                <w:bCs/>
                <w:color w:val="000000"/>
                <w:lang w:eastAsia="fr-FR"/>
              </w:rPr>
              <w:t>ode</w:t>
            </w:r>
            <w:r w:rsidRPr="008573B1">
              <w:rPr>
                <w:rFonts w:eastAsia="Times New Roman" w:cs="Times New Roman"/>
                <w:b/>
                <w:bCs/>
                <w:color w:val="000000"/>
                <w:lang w:eastAsia="fr-FR"/>
              </w:rPr>
              <w:t xml:space="preserve"> </w:t>
            </w:r>
            <w:r w:rsidRPr="008573B1">
              <w:rPr>
                <w:rFonts w:eastAsia="Times New Roman" w:cs="Times New Roman"/>
                <w:b/>
                <w:bCs/>
                <w:color w:val="000000"/>
                <w:lang w:eastAsia="fr-FR"/>
              </w:rPr>
              <w:br/>
              <w:t xml:space="preserve">Sandre </w:t>
            </w:r>
          </w:p>
        </w:tc>
        <w:tc>
          <w:tcPr>
            <w:tcW w:w="3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BB02E90" w14:textId="2A40DFF9" w:rsidR="002B2103" w:rsidRPr="008573B1" w:rsidRDefault="002B2103" w:rsidP="002B2103">
            <w:pPr>
              <w:spacing w:before="100" w:beforeAutospacing="1" w:after="100" w:afterAutospacing="1" w:line="240" w:lineRule="auto"/>
              <w:jc w:val="center"/>
              <w:rPr>
                <w:rFonts w:eastAsia="Times New Roman" w:cs="Times New Roman"/>
                <w:color w:val="000000"/>
                <w:lang w:eastAsia="fr-FR"/>
              </w:rPr>
            </w:pPr>
            <w:r w:rsidRPr="008573B1">
              <w:rPr>
                <w:rFonts w:eastAsia="Times New Roman" w:cs="Times New Roman"/>
                <w:b/>
                <w:bCs/>
                <w:color w:val="000000"/>
                <w:lang w:eastAsia="fr-FR"/>
              </w:rPr>
              <w:t>C</w:t>
            </w:r>
            <w:r>
              <w:rPr>
                <w:rFonts w:eastAsia="Times New Roman" w:cs="Times New Roman"/>
                <w:b/>
                <w:bCs/>
                <w:color w:val="000000"/>
                <w:lang w:eastAsia="fr-FR"/>
              </w:rPr>
              <w:t>oefficient</w:t>
            </w:r>
            <w:r w:rsidRPr="008573B1">
              <w:rPr>
                <w:rFonts w:eastAsia="Times New Roman" w:cs="Times New Roman"/>
                <w:b/>
                <w:bCs/>
                <w:color w:val="000000"/>
                <w:lang w:eastAsia="fr-FR"/>
              </w:rPr>
              <w:t xml:space="preserve"> </w:t>
            </w:r>
            <w:r w:rsidRPr="008573B1">
              <w:rPr>
                <w:rFonts w:eastAsia="Times New Roman" w:cs="Times New Roman"/>
                <w:b/>
                <w:bCs/>
                <w:color w:val="000000"/>
                <w:lang w:eastAsia="fr-FR"/>
              </w:rPr>
              <w:br/>
              <w:t xml:space="preserve">multiplicateur de la masse rejetée </w:t>
            </w:r>
          </w:p>
        </w:tc>
      </w:tr>
      <w:tr w:rsidR="002B2103" w:rsidRPr="008770F6" w14:paraId="32DA552F" w14:textId="77777777" w:rsidTr="002B2103">
        <w:trPr>
          <w:trHeight w:val="340"/>
          <w:tblCellSpacing w:w="22" w:type="dxa"/>
        </w:trPr>
        <w:tc>
          <w:tcPr>
            <w:tcW w:w="30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F44D69D" w14:textId="77777777" w:rsidR="002B2103" w:rsidRPr="008573B1" w:rsidRDefault="002B2103" w:rsidP="002B2103">
            <w:pPr>
              <w:spacing w:before="100" w:beforeAutospacing="1" w:after="100" w:afterAutospacing="1" w:line="240" w:lineRule="auto"/>
              <w:rPr>
                <w:rFonts w:eastAsia="Times New Roman" w:cs="Times New Roman"/>
                <w:color w:val="000000"/>
                <w:lang w:eastAsia="fr-FR"/>
              </w:rPr>
            </w:pPr>
            <w:r w:rsidRPr="008573B1">
              <w:rPr>
                <w:rFonts w:eastAsia="Times New Roman" w:cs="Times New Roman"/>
                <w:color w:val="000000"/>
                <w:lang w:eastAsia="fr-FR"/>
              </w:rPr>
              <w:br/>
              <w:t xml:space="preserve">Anthracène </w:t>
            </w:r>
          </w:p>
        </w:tc>
        <w:tc>
          <w:tcPr>
            <w:tcW w:w="230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EEA247E" w14:textId="77777777" w:rsidR="002B2103" w:rsidRPr="008573B1" w:rsidRDefault="002B2103" w:rsidP="002B2103">
            <w:pPr>
              <w:spacing w:before="100" w:beforeAutospacing="1" w:after="100" w:afterAutospacing="1" w:line="240" w:lineRule="auto"/>
              <w:jc w:val="center"/>
              <w:rPr>
                <w:rFonts w:eastAsia="Times New Roman" w:cs="Times New Roman"/>
                <w:color w:val="000000"/>
                <w:lang w:eastAsia="fr-FR"/>
              </w:rPr>
            </w:pPr>
            <w:r w:rsidRPr="008573B1">
              <w:rPr>
                <w:rFonts w:eastAsia="Times New Roman" w:cs="Times New Roman"/>
                <w:color w:val="000000"/>
                <w:lang w:eastAsia="fr-FR"/>
              </w:rPr>
              <w:br/>
              <w:t xml:space="preserve">120-12-7 </w:t>
            </w:r>
          </w:p>
        </w:tc>
        <w:tc>
          <w:tcPr>
            <w:tcW w:w="9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786DF5A" w14:textId="77777777" w:rsidR="002B2103" w:rsidRPr="008573B1" w:rsidRDefault="002B2103" w:rsidP="002B2103">
            <w:pPr>
              <w:spacing w:before="100" w:beforeAutospacing="1" w:after="100" w:afterAutospacing="1" w:line="240" w:lineRule="auto"/>
              <w:jc w:val="center"/>
              <w:rPr>
                <w:rFonts w:eastAsia="Times New Roman" w:cs="Times New Roman"/>
                <w:color w:val="000000"/>
                <w:lang w:eastAsia="fr-FR"/>
              </w:rPr>
            </w:pPr>
            <w:r w:rsidRPr="008573B1">
              <w:rPr>
                <w:rFonts w:eastAsia="Times New Roman" w:cs="Times New Roman"/>
                <w:color w:val="000000"/>
                <w:lang w:eastAsia="fr-FR"/>
              </w:rPr>
              <w:br/>
              <w:t xml:space="preserve">1458 </w:t>
            </w:r>
          </w:p>
        </w:tc>
        <w:tc>
          <w:tcPr>
            <w:tcW w:w="3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C33308C" w14:textId="77777777" w:rsidR="002B2103" w:rsidRPr="008573B1" w:rsidRDefault="002B2103" w:rsidP="002B2103">
            <w:pPr>
              <w:spacing w:before="100" w:beforeAutospacing="1" w:after="100" w:afterAutospacing="1" w:line="240" w:lineRule="auto"/>
              <w:jc w:val="center"/>
              <w:rPr>
                <w:rFonts w:eastAsia="Times New Roman" w:cs="Times New Roman"/>
                <w:color w:val="000000"/>
                <w:lang w:eastAsia="fr-FR"/>
              </w:rPr>
            </w:pPr>
            <w:r w:rsidRPr="008573B1">
              <w:rPr>
                <w:rFonts w:eastAsia="Times New Roman" w:cs="Times New Roman"/>
                <w:color w:val="000000"/>
                <w:lang w:eastAsia="fr-FR"/>
              </w:rPr>
              <w:br/>
              <w:t xml:space="preserve">100 </w:t>
            </w:r>
          </w:p>
        </w:tc>
      </w:tr>
      <w:tr w:rsidR="002B2103" w:rsidRPr="008770F6" w14:paraId="06B5CBE7" w14:textId="77777777" w:rsidTr="002B2103">
        <w:trPr>
          <w:trHeight w:val="501"/>
          <w:tblCellSpacing w:w="22" w:type="dxa"/>
        </w:trPr>
        <w:tc>
          <w:tcPr>
            <w:tcW w:w="30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D02BC3E" w14:textId="77777777" w:rsidR="002B2103" w:rsidRPr="008573B1" w:rsidRDefault="002B2103" w:rsidP="002B2103">
            <w:pPr>
              <w:spacing w:before="100" w:beforeAutospacing="1" w:after="100" w:afterAutospacing="1" w:line="240" w:lineRule="auto"/>
              <w:rPr>
                <w:rFonts w:eastAsia="Times New Roman" w:cs="Times New Roman"/>
                <w:color w:val="000000"/>
                <w:lang w:eastAsia="fr-FR"/>
              </w:rPr>
            </w:pPr>
            <w:r w:rsidRPr="008573B1">
              <w:rPr>
                <w:rFonts w:eastAsia="Times New Roman" w:cs="Times New Roman"/>
                <w:color w:val="000000"/>
                <w:lang w:eastAsia="fr-FR"/>
              </w:rPr>
              <w:br/>
              <w:t xml:space="preserve">Benzène </w:t>
            </w:r>
          </w:p>
        </w:tc>
        <w:tc>
          <w:tcPr>
            <w:tcW w:w="230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CFCA45C" w14:textId="77777777" w:rsidR="002B2103" w:rsidRPr="008573B1" w:rsidRDefault="002B2103" w:rsidP="002B2103">
            <w:pPr>
              <w:spacing w:before="100" w:beforeAutospacing="1" w:after="100" w:afterAutospacing="1" w:line="240" w:lineRule="auto"/>
              <w:jc w:val="center"/>
              <w:rPr>
                <w:rFonts w:eastAsia="Times New Roman" w:cs="Times New Roman"/>
                <w:color w:val="000000"/>
                <w:lang w:eastAsia="fr-FR"/>
              </w:rPr>
            </w:pPr>
            <w:r w:rsidRPr="008573B1">
              <w:rPr>
                <w:rFonts w:eastAsia="Times New Roman" w:cs="Times New Roman"/>
                <w:color w:val="000000"/>
                <w:lang w:eastAsia="fr-FR"/>
              </w:rPr>
              <w:br/>
              <w:t xml:space="preserve">71-43-2 </w:t>
            </w:r>
          </w:p>
        </w:tc>
        <w:tc>
          <w:tcPr>
            <w:tcW w:w="9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33A57C8" w14:textId="77777777" w:rsidR="002B2103" w:rsidRPr="008573B1" w:rsidRDefault="002B2103" w:rsidP="002B2103">
            <w:pPr>
              <w:spacing w:before="100" w:beforeAutospacing="1" w:after="100" w:afterAutospacing="1" w:line="240" w:lineRule="auto"/>
              <w:jc w:val="center"/>
              <w:rPr>
                <w:rFonts w:eastAsia="Times New Roman" w:cs="Times New Roman"/>
                <w:color w:val="000000"/>
                <w:lang w:eastAsia="fr-FR"/>
              </w:rPr>
            </w:pPr>
            <w:r w:rsidRPr="008573B1">
              <w:rPr>
                <w:rFonts w:eastAsia="Times New Roman" w:cs="Times New Roman"/>
                <w:color w:val="000000"/>
                <w:lang w:eastAsia="fr-FR"/>
              </w:rPr>
              <w:br/>
              <w:t xml:space="preserve">1114 </w:t>
            </w:r>
          </w:p>
        </w:tc>
        <w:tc>
          <w:tcPr>
            <w:tcW w:w="3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0465EF5" w14:textId="77777777" w:rsidR="002B2103" w:rsidRPr="008573B1" w:rsidRDefault="002B2103" w:rsidP="002B2103">
            <w:pPr>
              <w:spacing w:before="100" w:beforeAutospacing="1" w:after="100" w:afterAutospacing="1" w:line="240" w:lineRule="auto"/>
              <w:jc w:val="center"/>
              <w:rPr>
                <w:rFonts w:eastAsia="Times New Roman" w:cs="Times New Roman"/>
                <w:color w:val="000000"/>
                <w:lang w:eastAsia="fr-FR"/>
              </w:rPr>
            </w:pPr>
            <w:r w:rsidRPr="008573B1">
              <w:rPr>
                <w:rFonts w:eastAsia="Times New Roman" w:cs="Times New Roman"/>
                <w:color w:val="000000"/>
                <w:lang w:eastAsia="fr-FR"/>
              </w:rPr>
              <w:br/>
              <w:t xml:space="preserve">10 </w:t>
            </w:r>
          </w:p>
        </w:tc>
      </w:tr>
      <w:tr w:rsidR="002B2103" w:rsidRPr="008770F6" w14:paraId="1CEF2B8E" w14:textId="77777777" w:rsidTr="002B2103">
        <w:trPr>
          <w:trHeight w:val="488"/>
          <w:tblCellSpacing w:w="22" w:type="dxa"/>
        </w:trPr>
        <w:tc>
          <w:tcPr>
            <w:tcW w:w="30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75C09CE" w14:textId="77777777" w:rsidR="002B2103" w:rsidRPr="008573B1" w:rsidRDefault="002B2103" w:rsidP="002B2103">
            <w:pPr>
              <w:spacing w:before="100" w:beforeAutospacing="1" w:after="100" w:afterAutospacing="1" w:line="240" w:lineRule="auto"/>
              <w:rPr>
                <w:rFonts w:eastAsia="Times New Roman" w:cs="Times New Roman"/>
                <w:color w:val="000000"/>
                <w:lang w:eastAsia="fr-FR"/>
              </w:rPr>
            </w:pPr>
            <w:r w:rsidRPr="008573B1">
              <w:rPr>
                <w:rFonts w:eastAsia="Times New Roman" w:cs="Times New Roman"/>
                <w:color w:val="000000"/>
                <w:lang w:eastAsia="fr-FR"/>
              </w:rPr>
              <w:br/>
              <w:t xml:space="preserve">Benzo (a) pyrène </w:t>
            </w:r>
          </w:p>
        </w:tc>
        <w:tc>
          <w:tcPr>
            <w:tcW w:w="230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0F0CFBE" w14:textId="77777777" w:rsidR="002B2103" w:rsidRPr="008573B1" w:rsidRDefault="002B2103" w:rsidP="002B2103">
            <w:pPr>
              <w:spacing w:before="100" w:beforeAutospacing="1" w:after="100" w:afterAutospacing="1" w:line="240" w:lineRule="auto"/>
              <w:jc w:val="center"/>
              <w:rPr>
                <w:rFonts w:eastAsia="Times New Roman" w:cs="Times New Roman"/>
                <w:color w:val="000000"/>
                <w:lang w:eastAsia="fr-FR"/>
              </w:rPr>
            </w:pPr>
            <w:r w:rsidRPr="008573B1">
              <w:rPr>
                <w:rFonts w:eastAsia="Times New Roman" w:cs="Times New Roman"/>
                <w:color w:val="000000"/>
                <w:lang w:eastAsia="fr-FR"/>
              </w:rPr>
              <w:br/>
              <w:t xml:space="preserve">50-32-8 </w:t>
            </w:r>
          </w:p>
        </w:tc>
        <w:tc>
          <w:tcPr>
            <w:tcW w:w="9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15E96CB" w14:textId="77777777" w:rsidR="002B2103" w:rsidRPr="008573B1" w:rsidRDefault="002B2103" w:rsidP="002B2103">
            <w:pPr>
              <w:spacing w:before="100" w:beforeAutospacing="1" w:after="100" w:afterAutospacing="1" w:line="240" w:lineRule="auto"/>
              <w:jc w:val="center"/>
              <w:rPr>
                <w:rFonts w:eastAsia="Times New Roman" w:cs="Times New Roman"/>
                <w:color w:val="000000"/>
                <w:lang w:eastAsia="fr-FR"/>
              </w:rPr>
            </w:pPr>
            <w:r w:rsidRPr="008573B1">
              <w:rPr>
                <w:rFonts w:eastAsia="Times New Roman" w:cs="Times New Roman"/>
                <w:color w:val="000000"/>
                <w:lang w:eastAsia="fr-FR"/>
              </w:rPr>
              <w:br/>
              <w:t xml:space="preserve">1115 </w:t>
            </w:r>
          </w:p>
        </w:tc>
        <w:tc>
          <w:tcPr>
            <w:tcW w:w="3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4CBE3CF" w14:textId="77777777" w:rsidR="002B2103" w:rsidRPr="008573B1" w:rsidRDefault="002B2103" w:rsidP="002B2103">
            <w:pPr>
              <w:spacing w:before="100" w:beforeAutospacing="1" w:after="100" w:afterAutospacing="1" w:line="240" w:lineRule="auto"/>
              <w:jc w:val="center"/>
              <w:rPr>
                <w:rFonts w:eastAsia="Times New Roman" w:cs="Times New Roman"/>
                <w:color w:val="000000"/>
                <w:lang w:eastAsia="fr-FR"/>
              </w:rPr>
            </w:pPr>
            <w:r w:rsidRPr="008573B1">
              <w:rPr>
                <w:rFonts w:eastAsia="Times New Roman" w:cs="Times New Roman"/>
                <w:color w:val="000000"/>
                <w:lang w:eastAsia="fr-FR"/>
              </w:rPr>
              <w:br/>
              <w:t xml:space="preserve">100 </w:t>
            </w:r>
          </w:p>
        </w:tc>
      </w:tr>
      <w:tr w:rsidR="002B2103" w:rsidRPr="008770F6" w14:paraId="146BC450" w14:textId="77777777" w:rsidTr="002B2103">
        <w:trPr>
          <w:trHeight w:val="501"/>
          <w:tblCellSpacing w:w="22" w:type="dxa"/>
        </w:trPr>
        <w:tc>
          <w:tcPr>
            <w:tcW w:w="30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E66B8A3" w14:textId="77777777" w:rsidR="002B2103" w:rsidRPr="008573B1" w:rsidRDefault="002B2103" w:rsidP="002B2103">
            <w:pPr>
              <w:spacing w:before="100" w:beforeAutospacing="1" w:after="100" w:afterAutospacing="1" w:line="240" w:lineRule="auto"/>
              <w:rPr>
                <w:rFonts w:eastAsia="Times New Roman" w:cs="Times New Roman"/>
                <w:color w:val="000000"/>
                <w:lang w:eastAsia="fr-FR"/>
              </w:rPr>
            </w:pPr>
            <w:r w:rsidRPr="008573B1">
              <w:rPr>
                <w:rFonts w:eastAsia="Times New Roman" w:cs="Times New Roman"/>
                <w:color w:val="000000"/>
                <w:lang w:eastAsia="fr-FR"/>
              </w:rPr>
              <w:br/>
              <w:t xml:space="preserve">Benzo (b) fluoroanthène </w:t>
            </w:r>
          </w:p>
        </w:tc>
        <w:tc>
          <w:tcPr>
            <w:tcW w:w="230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5C5F4B8" w14:textId="77777777" w:rsidR="002B2103" w:rsidRPr="008573B1" w:rsidRDefault="002B2103" w:rsidP="002B2103">
            <w:pPr>
              <w:spacing w:before="100" w:beforeAutospacing="1" w:after="100" w:afterAutospacing="1" w:line="240" w:lineRule="auto"/>
              <w:jc w:val="center"/>
              <w:rPr>
                <w:rFonts w:eastAsia="Times New Roman" w:cs="Times New Roman"/>
                <w:color w:val="000000"/>
                <w:lang w:eastAsia="fr-FR"/>
              </w:rPr>
            </w:pPr>
            <w:r w:rsidRPr="008573B1">
              <w:rPr>
                <w:rFonts w:eastAsia="Times New Roman" w:cs="Times New Roman"/>
                <w:color w:val="000000"/>
                <w:lang w:eastAsia="fr-FR"/>
              </w:rPr>
              <w:br/>
              <w:t xml:space="preserve">205-99-2 </w:t>
            </w:r>
          </w:p>
        </w:tc>
        <w:tc>
          <w:tcPr>
            <w:tcW w:w="9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64A16D3" w14:textId="77777777" w:rsidR="002B2103" w:rsidRPr="008573B1" w:rsidRDefault="002B2103" w:rsidP="002B2103">
            <w:pPr>
              <w:spacing w:before="100" w:beforeAutospacing="1" w:after="100" w:afterAutospacing="1" w:line="240" w:lineRule="auto"/>
              <w:jc w:val="center"/>
              <w:rPr>
                <w:rFonts w:eastAsia="Times New Roman" w:cs="Times New Roman"/>
                <w:color w:val="000000"/>
                <w:lang w:eastAsia="fr-FR"/>
              </w:rPr>
            </w:pPr>
            <w:r w:rsidRPr="008573B1">
              <w:rPr>
                <w:rFonts w:eastAsia="Times New Roman" w:cs="Times New Roman"/>
                <w:color w:val="000000"/>
                <w:lang w:eastAsia="fr-FR"/>
              </w:rPr>
              <w:br/>
              <w:t xml:space="preserve">1116 </w:t>
            </w:r>
          </w:p>
        </w:tc>
        <w:tc>
          <w:tcPr>
            <w:tcW w:w="3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35A90A5" w14:textId="77777777" w:rsidR="002B2103" w:rsidRPr="008573B1" w:rsidRDefault="002B2103" w:rsidP="002B2103">
            <w:pPr>
              <w:spacing w:before="100" w:beforeAutospacing="1" w:after="100" w:afterAutospacing="1" w:line="240" w:lineRule="auto"/>
              <w:jc w:val="center"/>
              <w:rPr>
                <w:rFonts w:eastAsia="Times New Roman" w:cs="Times New Roman"/>
                <w:color w:val="000000"/>
                <w:lang w:eastAsia="fr-FR"/>
              </w:rPr>
            </w:pPr>
            <w:r w:rsidRPr="008573B1">
              <w:rPr>
                <w:rFonts w:eastAsia="Times New Roman" w:cs="Times New Roman"/>
                <w:color w:val="000000"/>
                <w:lang w:eastAsia="fr-FR"/>
              </w:rPr>
              <w:br/>
              <w:t xml:space="preserve">100 </w:t>
            </w:r>
          </w:p>
        </w:tc>
      </w:tr>
      <w:tr w:rsidR="002B2103" w:rsidRPr="008770F6" w14:paraId="52AEF074" w14:textId="77777777" w:rsidTr="002B2103">
        <w:trPr>
          <w:trHeight w:val="501"/>
          <w:tblCellSpacing w:w="22" w:type="dxa"/>
        </w:trPr>
        <w:tc>
          <w:tcPr>
            <w:tcW w:w="30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556F7A6" w14:textId="77777777" w:rsidR="002B2103" w:rsidRPr="008573B1" w:rsidRDefault="002B2103" w:rsidP="002B2103">
            <w:pPr>
              <w:spacing w:before="100" w:beforeAutospacing="1" w:after="100" w:afterAutospacing="1" w:line="240" w:lineRule="auto"/>
              <w:rPr>
                <w:rFonts w:eastAsia="Times New Roman" w:cs="Times New Roman"/>
                <w:color w:val="000000"/>
                <w:lang w:eastAsia="fr-FR"/>
              </w:rPr>
            </w:pPr>
            <w:r w:rsidRPr="008573B1">
              <w:rPr>
                <w:rFonts w:eastAsia="Times New Roman" w:cs="Times New Roman"/>
                <w:color w:val="000000"/>
                <w:lang w:eastAsia="fr-FR"/>
              </w:rPr>
              <w:br/>
              <w:t xml:space="preserve">Benzo (k) fluoroanthène </w:t>
            </w:r>
          </w:p>
        </w:tc>
        <w:tc>
          <w:tcPr>
            <w:tcW w:w="230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46752D3" w14:textId="77777777" w:rsidR="002B2103" w:rsidRPr="008573B1" w:rsidRDefault="002B2103" w:rsidP="002B2103">
            <w:pPr>
              <w:spacing w:before="100" w:beforeAutospacing="1" w:after="100" w:afterAutospacing="1" w:line="240" w:lineRule="auto"/>
              <w:jc w:val="center"/>
              <w:rPr>
                <w:rFonts w:eastAsia="Times New Roman" w:cs="Times New Roman"/>
                <w:color w:val="000000"/>
                <w:lang w:eastAsia="fr-FR"/>
              </w:rPr>
            </w:pPr>
            <w:r w:rsidRPr="008573B1">
              <w:rPr>
                <w:rFonts w:eastAsia="Times New Roman" w:cs="Times New Roman"/>
                <w:color w:val="000000"/>
                <w:lang w:eastAsia="fr-FR"/>
              </w:rPr>
              <w:br/>
              <w:t xml:space="preserve">207-08-9 </w:t>
            </w:r>
          </w:p>
        </w:tc>
        <w:tc>
          <w:tcPr>
            <w:tcW w:w="9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AE15958" w14:textId="77777777" w:rsidR="002B2103" w:rsidRPr="008573B1" w:rsidRDefault="002B2103" w:rsidP="002B2103">
            <w:pPr>
              <w:spacing w:before="100" w:beforeAutospacing="1" w:after="100" w:afterAutospacing="1" w:line="240" w:lineRule="auto"/>
              <w:jc w:val="center"/>
              <w:rPr>
                <w:rFonts w:eastAsia="Times New Roman" w:cs="Times New Roman"/>
                <w:color w:val="000000"/>
                <w:lang w:eastAsia="fr-FR"/>
              </w:rPr>
            </w:pPr>
            <w:r w:rsidRPr="008573B1">
              <w:rPr>
                <w:rFonts w:eastAsia="Times New Roman" w:cs="Times New Roman"/>
                <w:color w:val="000000"/>
                <w:lang w:eastAsia="fr-FR"/>
              </w:rPr>
              <w:br/>
              <w:t xml:space="preserve">1117 </w:t>
            </w:r>
          </w:p>
        </w:tc>
        <w:tc>
          <w:tcPr>
            <w:tcW w:w="3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22D6600" w14:textId="77777777" w:rsidR="002B2103" w:rsidRPr="008573B1" w:rsidRDefault="002B2103" w:rsidP="002B2103">
            <w:pPr>
              <w:spacing w:before="100" w:beforeAutospacing="1" w:after="100" w:afterAutospacing="1" w:line="240" w:lineRule="auto"/>
              <w:jc w:val="center"/>
              <w:rPr>
                <w:rFonts w:eastAsia="Times New Roman" w:cs="Times New Roman"/>
                <w:color w:val="000000"/>
                <w:lang w:eastAsia="fr-FR"/>
              </w:rPr>
            </w:pPr>
            <w:r w:rsidRPr="008573B1">
              <w:rPr>
                <w:rFonts w:eastAsia="Times New Roman" w:cs="Times New Roman"/>
                <w:color w:val="000000"/>
                <w:lang w:eastAsia="fr-FR"/>
              </w:rPr>
              <w:br/>
              <w:t xml:space="preserve">100 </w:t>
            </w:r>
          </w:p>
        </w:tc>
      </w:tr>
      <w:tr w:rsidR="002B2103" w:rsidRPr="008770F6" w14:paraId="19DE3807" w14:textId="77777777" w:rsidTr="002B2103">
        <w:trPr>
          <w:trHeight w:val="501"/>
          <w:tblCellSpacing w:w="22" w:type="dxa"/>
        </w:trPr>
        <w:tc>
          <w:tcPr>
            <w:tcW w:w="30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C4B860F" w14:textId="77777777" w:rsidR="002B2103" w:rsidRPr="00077BCA" w:rsidRDefault="002B2103" w:rsidP="002B2103">
            <w:pPr>
              <w:spacing w:before="100" w:beforeAutospacing="1" w:after="100" w:afterAutospacing="1" w:line="240" w:lineRule="auto"/>
              <w:rPr>
                <w:rFonts w:eastAsia="Times New Roman" w:cs="Times New Roman"/>
                <w:color w:val="000000"/>
                <w:lang w:val="en-US" w:eastAsia="fr-FR"/>
              </w:rPr>
            </w:pPr>
            <w:r w:rsidRPr="00077BCA">
              <w:rPr>
                <w:rFonts w:eastAsia="Times New Roman" w:cs="Times New Roman"/>
                <w:color w:val="000000"/>
                <w:lang w:val="en-US" w:eastAsia="fr-FR"/>
              </w:rPr>
              <w:br/>
              <w:t xml:space="preserve">Benzo (g, h, i) perylène </w:t>
            </w:r>
          </w:p>
        </w:tc>
        <w:tc>
          <w:tcPr>
            <w:tcW w:w="230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862A0DA" w14:textId="77777777" w:rsidR="002B2103" w:rsidRPr="008573B1" w:rsidRDefault="002B2103" w:rsidP="002B2103">
            <w:pPr>
              <w:spacing w:before="100" w:beforeAutospacing="1" w:after="100" w:afterAutospacing="1" w:line="240" w:lineRule="auto"/>
              <w:jc w:val="center"/>
              <w:rPr>
                <w:rFonts w:eastAsia="Times New Roman" w:cs="Times New Roman"/>
                <w:color w:val="000000"/>
                <w:lang w:eastAsia="fr-FR"/>
              </w:rPr>
            </w:pPr>
            <w:r w:rsidRPr="00077BCA">
              <w:rPr>
                <w:rFonts w:eastAsia="Times New Roman" w:cs="Times New Roman"/>
                <w:color w:val="000000"/>
                <w:lang w:val="en-US" w:eastAsia="fr-FR"/>
              </w:rPr>
              <w:br/>
            </w:r>
            <w:r w:rsidRPr="008573B1">
              <w:rPr>
                <w:rFonts w:eastAsia="Times New Roman" w:cs="Times New Roman"/>
                <w:color w:val="000000"/>
                <w:lang w:eastAsia="fr-FR"/>
              </w:rPr>
              <w:t xml:space="preserve">191-24-2 </w:t>
            </w:r>
          </w:p>
        </w:tc>
        <w:tc>
          <w:tcPr>
            <w:tcW w:w="9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AC195E7" w14:textId="77777777" w:rsidR="002B2103" w:rsidRPr="008573B1" w:rsidRDefault="002B2103" w:rsidP="002B2103">
            <w:pPr>
              <w:spacing w:before="100" w:beforeAutospacing="1" w:after="100" w:afterAutospacing="1" w:line="240" w:lineRule="auto"/>
              <w:jc w:val="center"/>
              <w:rPr>
                <w:rFonts w:eastAsia="Times New Roman" w:cs="Times New Roman"/>
                <w:color w:val="000000"/>
                <w:lang w:eastAsia="fr-FR"/>
              </w:rPr>
            </w:pPr>
            <w:r w:rsidRPr="008573B1">
              <w:rPr>
                <w:rFonts w:eastAsia="Times New Roman" w:cs="Times New Roman"/>
                <w:color w:val="000000"/>
                <w:lang w:eastAsia="fr-FR"/>
              </w:rPr>
              <w:br/>
              <w:t xml:space="preserve">1118 </w:t>
            </w:r>
          </w:p>
        </w:tc>
        <w:tc>
          <w:tcPr>
            <w:tcW w:w="3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FA07612" w14:textId="77777777" w:rsidR="002B2103" w:rsidRPr="008573B1" w:rsidRDefault="002B2103" w:rsidP="002B2103">
            <w:pPr>
              <w:spacing w:before="100" w:beforeAutospacing="1" w:after="100" w:afterAutospacing="1" w:line="240" w:lineRule="auto"/>
              <w:jc w:val="center"/>
              <w:rPr>
                <w:rFonts w:eastAsia="Times New Roman" w:cs="Times New Roman"/>
                <w:color w:val="000000"/>
                <w:lang w:eastAsia="fr-FR"/>
              </w:rPr>
            </w:pPr>
            <w:r w:rsidRPr="008573B1">
              <w:rPr>
                <w:rFonts w:eastAsia="Times New Roman" w:cs="Times New Roman"/>
                <w:color w:val="000000"/>
                <w:lang w:eastAsia="fr-FR"/>
              </w:rPr>
              <w:br/>
              <w:t xml:space="preserve">1 000 </w:t>
            </w:r>
          </w:p>
        </w:tc>
      </w:tr>
      <w:tr w:rsidR="002B2103" w:rsidRPr="008770F6" w14:paraId="77287591" w14:textId="77777777" w:rsidTr="002B2103">
        <w:trPr>
          <w:trHeight w:val="739"/>
          <w:tblCellSpacing w:w="22" w:type="dxa"/>
        </w:trPr>
        <w:tc>
          <w:tcPr>
            <w:tcW w:w="30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D1833D0" w14:textId="77777777" w:rsidR="002B2103" w:rsidRPr="008573B1" w:rsidRDefault="002B2103" w:rsidP="002B2103">
            <w:pPr>
              <w:spacing w:before="100" w:beforeAutospacing="1" w:after="100" w:afterAutospacing="1" w:line="240" w:lineRule="auto"/>
              <w:rPr>
                <w:rFonts w:eastAsia="Times New Roman" w:cs="Times New Roman"/>
                <w:color w:val="000000"/>
                <w:lang w:eastAsia="fr-FR"/>
              </w:rPr>
            </w:pPr>
            <w:r w:rsidRPr="008573B1">
              <w:rPr>
                <w:rFonts w:eastAsia="Times New Roman" w:cs="Times New Roman"/>
                <w:color w:val="000000"/>
                <w:lang w:eastAsia="fr-FR"/>
              </w:rPr>
              <w:br/>
              <w:t xml:space="preserve">Di (2-éthylhexyl) phtalate (DEHP) </w:t>
            </w:r>
          </w:p>
        </w:tc>
        <w:tc>
          <w:tcPr>
            <w:tcW w:w="230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488B983" w14:textId="77777777" w:rsidR="002B2103" w:rsidRPr="008573B1" w:rsidRDefault="002B2103" w:rsidP="002B2103">
            <w:pPr>
              <w:spacing w:before="100" w:beforeAutospacing="1" w:after="100" w:afterAutospacing="1" w:line="240" w:lineRule="auto"/>
              <w:jc w:val="center"/>
              <w:rPr>
                <w:rFonts w:eastAsia="Times New Roman" w:cs="Times New Roman"/>
                <w:color w:val="000000"/>
                <w:lang w:eastAsia="fr-FR"/>
              </w:rPr>
            </w:pPr>
            <w:r w:rsidRPr="008573B1">
              <w:rPr>
                <w:rFonts w:eastAsia="Times New Roman" w:cs="Times New Roman"/>
                <w:color w:val="000000"/>
                <w:lang w:eastAsia="fr-FR"/>
              </w:rPr>
              <w:br/>
              <w:t xml:space="preserve">117-81-7 </w:t>
            </w:r>
          </w:p>
        </w:tc>
        <w:tc>
          <w:tcPr>
            <w:tcW w:w="9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C418F50" w14:textId="77777777" w:rsidR="002B2103" w:rsidRPr="008573B1" w:rsidRDefault="002B2103" w:rsidP="002B2103">
            <w:pPr>
              <w:spacing w:before="100" w:beforeAutospacing="1" w:after="100" w:afterAutospacing="1" w:line="240" w:lineRule="auto"/>
              <w:jc w:val="center"/>
              <w:rPr>
                <w:rFonts w:eastAsia="Times New Roman" w:cs="Times New Roman"/>
                <w:color w:val="000000"/>
                <w:lang w:eastAsia="fr-FR"/>
              </w:rPr>
            </w:pPr>
            <w:r w:rsidRPr="008573B1">
              <w:rPr>
                <w:rFonts w:eastAsia="Times New Roman" w:cs="Times New Roman"/>
                <w:color w:val="000000"/>
                <w:lang w:eastAsia="fr-FR"/>
              </w:rPr>
              <w:br/>
              <w:t xml:space="preserve">6616 </w:t>
            </w:r>
          </w:p>
        </w:tc>
        <w:tc>
          <w:tcPr>
            <w:tcW w:w="3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A23B6CB" w14:textId="77777777" w:rsidR="002B2103" w:rsidRPr="008573B1" w:rsidRDefault="002B2103" w:rsidP="002B2103">
            <w:pPr>
              <w:spacing w:before="100" w:beforeAutospacing="1" w:after="100" w:afterAutospacing="1" w:line="240" w:lineRule="auto"/>
              <w:jc w:val="center"/>
              <w:rPr>
                <w:rFonts w:eastAsia="Times New Roman" w:cs="Times New Roman"/>
                <w:color w:val="000000"/>
                <w:lang w:eastAsia="fr-FR"/>
              </w:rPr>
            </w:pPr>
            <w:r w:rsidRPr="008573B1">
              <w:rPr>
                <w:rFonts w:eastAsia="Times New Roman" w:cs="Times New Roman"/>
                <w:color w:val="000000"/>
                <w:lang w:eastAsia="fr-FR"/>
              </w:rPr>
              <w:br/>
              <w:t xml:space="preserve">10 </w:t>
            </w:r>
          </w:p>
        </w:tc>
      </w:tr>
      <w:tr w:rsidR="002B2103" w:rsidRPr="008770F6" w14:paraId="034DA8E7" w14:textId="77777777" w:rsidTr="002B2103">
        <w:trPr>
          <w:trHeight w:val="488"/>
          <w:tblCellSpacing w:w="22" w:type="dxa"/>
        </w:trPr>
        <w:tc>
          <w:tcPr>
            <w:tcW w:w="30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6332420" w14:textId="77777777" w:rsidR="002B2103" w:rsidRPr="008573B1" w:rsidRDefault="002B2103" w:rsidP="002B2103">
            <w:pPr>
              <w:spacing w:before="100" w:beforeAutospacing="1" w:after="100" w:afterAutospacing="1" w:line="240" w:lineRule="auto"/>
              <w:rPr>
                <w:rFonts w:eastAsia="Times New Roman" w:cs="Times New Roman"/>
                <w:color w:val="000000"/>
                <w:lang w:eastAsia="fr-FR"/>
              </w:rPr>
            </w:pPr>
            <w:r w:rsidRPr="008573B1">
              <w:rPr>
                <w:rFonts w:eastAsia="Times New Roman" w:cs="Times New Roman"/>
                <w:color w:val="000000"/>
                <w:lang w:eastAsia="fr-FR"/>
              </w:rPr>
              <w:lastRenderedPageBreak/>
              <w:br/>
              <w:t xml:space="preserve">Ethylbenzène </w:t>
            </w:r>
          </w:p>
        </w:tc>
        <w:tc>
          <w:tcPr>
            <w:tcW w:w="230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2FDC18E" w14:textId="77777777" w:rsidR="002B2103" w:rsidRPr="008573B1" w:rsidRDefault="002B2103" w:rsidP="002B2103">
            <w:pPr>
              <w:spacing w:before="100" w:beforeAutospacing="1" w:after="100" w:afterAutospacing="1" w:line="240" w:lineRule="auto"/>
              <w:jc w:val="center"/>
              <w:rPr>
                <w:rFonts w:eastAsia="Times New Roman" w:cs="Times New Roman"/>
                <w:color w:val="000000"/>
                <w:lang w:eastAsia="fr-FR"/>
              </w:rPr>
            </w:pPr>
            <w:r w:rsidRPr="008573B1">
              <w:rPr>
                <w:rFonts w:eastAsia="Times New Roman" w:cs="Times New Roman"/>
                <w:color w:val="000000"/>
                <w:lang w:eastAsia="fr-FR"/>
              </w:rPr>
              <w:br/>
              <w:t xml:space="preserve">100-41-4 </w:t>
            </w:r>
          </w:p>
        </w:tc>
        <w:tc>
          <w:tcPr>
            <w:tcW w:w="9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BF74DEF" w14:textId="77777777" w:rsidR="002B2103" w:rsidRPr="008573B1" w:rsidRDefault="002B2103" w:rsidP="002B2103">
            <w:pPr>
              <w:spacing w:before="100" w:beforeAutospacing="1" w:after="100" w:afterAutospacing="1" w:line="240" w:lineRule="auto"/>
              <w:jc w:val="center"/>
              <w:rPr>
                <w:rFonts w:eastAsia="Times New Roman" w:cs="Times New Roman"/>
                <w:color w:val="000000"/>
                <w:lang w:eastAsia="fr-FR"/>
              </w:rPr>
            </w:pPr>
            <w:r w:rsidRPr="008573B1">
              <w:rPr>
                <w:rFonts w:eastAsia="Times New Roman" w:cs="Times New Roman"/>
                <w:color w:val="000000"/>
                <w:lang w:eastAsia="fr-FR"/>
              </w:rPr>
              <w:br/>
              <w:t xml:space="preserve">1497 </w:t>
            </w:r>
          </w:p>
        </w:tc>
        <w:tc>
          <w:tcPr>
            <w:tcW w:w="3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975B281" w14:textId="77777777" w:rsidR="002B2103" w:rsidRPr="008573B1" w:rsidRDefault="002B2103" w:rsidP="002B2103">
            <w:pPr>
              <w:spacing w:before="100" w:beforeAutospacing="1" w:after="100" w:afterAutospacing="1" w:line="240" w:lineRule="auto"/>
              <w:jc w:val="center"/>
              <w:rPr>
                <w:rFonts w:eastAsia="Times New Roman" w:cs="Times New Roman"/>
                <w:color w:val="000000"/>
                <w:lang w:eastAsia="fr-FR"/>
              </w:rPr>
            </w:pPr>
            <w:r w:rsidRPr="008573B1">
              <w:rPr>
                <w:rFonts w:eastAsia="Times New Roman" w:cs="Times New Roman"/>
                <w:color w:val="000000"/>
                <w:lang w:eastAsia="fr-FR"/>
              </w:rPr>
              <w:br/>
              <w:t xml:space="preserve">10 </w:t>
            </w:r>
          </w:p>
        </w:tc>
      </w:tr>
      <w:tr w:rsidR="002B2103" w:rsidRPr="008770F6" w14:paraId="658001C5" w14:textId="77777777" w:rsidTr="002B2103">
        <w:trPr>
          <w:trHeight w:val="501"/>
          <w:tblCellSpacing w:w="22" w:type="dxa"/>
        </w:trPr>
        <w:tc>
          <w:tcPr>
            <w:tcW w:w="30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5555592" w14:textId="77777777" w:rsidR="002B2103" w:rsidRPr="008573B1" w:rsidRDefault="002B2103" w:rsidP="002B2103">
            <w:pPr>
              <w:spacing w:before="100" w:beforeAutospacing="1" w:after="100" w:afterAutospacing="1" w:line="240" w:lineRule="auto"/>
              <w:rPr>
                <w:rFonts w:eastAsia="Times New Roman" w:cs="Times New Roman"/>
                <w:color w:val="000000"/>
                <w:lang w:eastAsia="fr-FR"/>
              </w:rPr>
            </w:pPr>
            <w:r w:rsidRPr="008573B1">
              <w:rPr>
                <w:rFonts w:eastAsia="Times New Roman" w:cs="Times New Roman"/>
                <w:color w:val="000000"/>
                <w:lang w:eastAsia="fr-FR"/>
              </w:rPr>
              <w:br/>
              <w:t xml:space="preserve">Fluoranthène </w:t>
            </w:r>
          </w:p>
        </w:tc>
        <w:tc>
          <w:tcPr>
            <w:tcW w:w="230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5C0AFF6" w14:textId="77777777" w:rsidR="002B2103" w:rsidRPr="008573B1" w:rsidRDefault="002B2103" w:rsidP="002B2103">
            <w:pPr>
              <w:spacing w:before="100" w:beforeAutospacing="1" w:after="100" w:afterAutospacing="1" w:line="240" w:lineRule="auto"/>
              <w:jc w:val="center"/>
              <w:rPr>
                <w:rFonts w:eastAsia="Times New Roman" w:cs="Times New Roman"/>
                <w:color w:val="000000"/>
                <w:lang w:eastAsia="fr-FR"/>
              </w:rPr>
            </w:pPr>
            <w:r w:rsidRPr="008573B1">
              <w:rPr>
                <w:rFonts w:eastAsia="Times New Roman" w:cs="Times New Roman"/>
                <w:color w:val="000000"/>
                <w:lang w:eastAsia="fr-FR"/>
              </w:rPr>
              <w:br/>
              <w:t xml:space="preserve">206-44-0 </w:t>
            </w:r>
          </w:p>
        </w:tc>
        <w:tc>
          <w:tcPr>
            <w:tcW w:w="9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C2B4CC2" w14:textId="77777777" w:rsidR="002B2103" w:rsidRPr="008573B1" w:rsidRDefault="002B2103" w:rsidP="002B2103">
            <w:pPr>
              <w:spacing w:before="100" w:beforeAutospacing="1" w:after="100" w:afterAutospacing="1" w:line="240" w:lineRule="auto"/>
              <w:jc w:val="center"/>
              <w:rPr>
                <w:rFonts w:eastAsia="Times New Roman" w:cs="Times New Roman"/>
                <w:color w:val="000000"/>
                <w:lang w:eastAsia="fr-FR"/>
              </w:rPr>
            </w:pPr>
            <w:r w:rsidRPr="008573B1">
              <w:rPr>
                <w:rFonts w:eastAsia="Times New Roman" w:cs="Times New Roman"/>
                <w:color w:val="000000"/>
                <w:lang w:eastAsia="fr-FR"/>
              </w:rPr>
              <w:br/>
              <w:t xml:space="preserve">1191 </w:t>
            </w:r>
          </w:p>
        </w:tc>
        <w:tc>
          <w:tcPr>
            <w:tcW w:w="3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42C6087" w14:textId="77777777" w:rsidR="002B2103" w:rsidRPr="008573B1" w:rsidRDefault="002B2103" w:rsidP="002B2103">
            <w:pPr>
              <w:spacing w:before="100" w:beforeAutospacing="1" w:after="100" w:afterAutospacing="1" w:line="240" w:lineRule="auto"/>
              <w:jc w:val="center"/>
              <w:rPr>
                <w:rFonts w:eastAsia="Times New Roman" w:cs="Times New Roman"/>
                <w:color w:val="000000"/>
                <w:lang w:eastAsia="fr-FR"/>
              </w:rPr>
            </w:pPr>
            <w:r w:rsidRPr="008573B1">
              <w:rPr>
                <w:rFonts w:eastAsia="Times New Roman" w:cs="Times New Roman"/>
                <w:color w:val="000000"/>
                <w:lang w:eastAsia="fr-FR"/>
              </w:rPr>
              <w:br/>
              <w:t xml:space="preserve">100 </w:t>
            </w:r>
          </w:p>
        </w:tc>
      </w:tr>
      <w:tr w:rsidR="002B2103" w:rsidRPr="008770F6" w14:paraId="2826414B" w14:textId="77777777" w:rsidTr="002B2103">
        <w:trPr>
          <w:trHeight w:val="501"/>
          <w:tblCellSpacing w:w="22" w:type="dxa"/>
        </w:trPr>
        <w:tc>
          <w:tcPr>
            <w:tcW w:w="30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AD0BD9A" w14:textId="32EAA23C" w:rsidR="002B2103" w:rsidRPr="008573B1" w:rsidRDefault="002B2103" w:rsidP="002B2103">
            <w:pPr>
              <w:spacing w:before="100" w:beforeAutospacing="1" w:after="100" w:afterAutospacing="1" w:line="240" w:lineRule="auto"/>
              <w:rPr>
                <w:rFonts w:eastAsia="Times New Roman" w:cs="Times New Roman"/>
                <w:color w:val="000000"/>
                <w:lang w:eastAsia="fr-FR"/>
              </w:rPr>
            </w:pPr>
            <w:r w:rsidRPr="008573B1">
              <w:rPr>
                <w:rFonts w:eastAsia="Times New Roman" w:cs="Times New Roman"/>
                <w:color w:val="000000"/>
                <w:lang w:eastAsia="fr-FR"/>
              </w:rPr>
              <w:br/>
              <w:t>Indeno (1,</w:t>
            </w:r>
            <w:r>
              <w:rPr>
                <w:rFonts w:eastAsia="Times New Roman" w:cs="Times New Roman"/>
                <w:color w:val="000000"/>
                <w:lang w:eastAsia="fr-FR"/>
              </w:rPr>
              <w:t xml:space="preserve"> </w:t>
            </w:r>
            <w:r w:rsidRPr="008573B1">
              <w:rPr>
                <w:rFonts w:eastAsia="Times New Roman" w:cs="Times New Roman"/>
                <w:color w:val="000000"/>
                <w:lang w:eastAsia="fr-FR"/>
              </w:rPr>
              <w:t>2,</w:t>
            </w:r>
            <w:r>
              <w:rPr>
                <w:rFonts w:eastAsia="Times New Roman" w:cs="Times New Roman"/>
                <w:color w:val="000000"/>
                <w:lang w:eastAsia="fr-FR"/>
              </w:rPr>
              <w:t xml:space="preserve"> </w:t>
            </w:r>
            <w:r w:rsidRPr="008573B1">
              <w:rPr>
                <w:rFonts w:eastAsia="Times New Roman" w:cs="Times New Roman"/>
                <w:color w:val="000000"/>
                <w:lang w:eastAsia="fr-FR"/>
              </w:rPr>
              <w:t xml:space="preserve">3-cd) pyrène </w:t>
            </w:r>
          </w:p>
        </w:tc>
        <w:tc>
          <w:tcPr>
            <w:tcW w:w="230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506B163" w14:textId="77777777" w:rsidR="002B2103" w:rsidRPr="008573B1" w:rsidRDefault="002B2103" w:rsidP="002B2103">
            <w:pPr>
              <w:spacing w:before="100" w:beforeAutospacing="1" w:after="100" w:afterAutospacing="1" w:line="240" w:lineRule="auto"/>
              <w:jc w:val="center"/>
              <w:rPr>
                <w:rFonts w:eastAsia="Times New Roman" w:cs="Times New Roman"/>
                <w:color w:val="000000"/>
                <w:lang w:eastAsia="fr-FR"/>
              </w:rPr>
            </w:pPr>
            <w:r w:rsidRPr="008573B1">
              <w:rPr>
                <w:rFonts w:eastAsia="Times New Roman" w:cs="Times New Roman"/>
                <w:color w:val="000000"/>
                <w:lang w:eastAsia="fr-FR"/>
              </w:rPr>
              <w:br/>
              <w:t xml:space="preserve">193-39-5 </w:t>
            </w:r>
          </w:p>
        </w:tc>
        <w:tc>
          <w:tcPr>
            <w:tcW w:w="9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CCFE0EE" w14:textId="77777777" w:rsidR="002B2103" w:rsidRPr="008573B1" w:rsidRDefault="002B2103" w:rsidP="002B2103">
            <w:pPr>
              <w:spacing w:before="100" w:beforeAutospacing="1" w:after="100" w:afterAutospacing="1" w:line="240" w:lineRule="auto"/>
              <w:jc w:val="center"/>
              <w:rPr>
                <w:rFonts w:eastAsia="Times New Roman" w:cs="Times New Roman"/>
                <w:color w:val="000000"/>
                <w:lang w:eastAsia="fr-FR"/>
              </w:rPr>
            </w:pPr>
            <w:r w:rsidRPr="008573B1">
              <w:rPr>
                <w:rFonts w:eastAsia="Times New Roman" w:cs="Times New Roman"/>
                <w:color w:val="000000"/>
                <w:lang w:eastAsia="fr-FR"/>
              </w:rPr>
              <w:br/>
              <w:t xml:space="preserve">1204 </w:t>
            </w:r>
          </w:p>
        </w:tc>
        <w:tc>
          <w:tcPr>
            <w:tcW w:w="3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DF4EC9E" w14:textId="77777777" w:rsidR="002B2103" w:rsidRPr="008573B1" w:rsidRDefault="002B2103" w:rsidP="002B2103">
            <w:pPr>
              <w:spacing w:before="100" w:beforeAutospacing="1" w:after="100" w:afterAutospacing="1" w:line="240" w:lineRule="auto"/>
              <w:jc w:val="center"/>
              <w:rPr>
                <w:rFonts w:eastAsia="Times New Roman" w:cs="Times New Roman"/>
                <w:color w:val="000000"/>
                <w:lang w:eastAsia="fr-FR"/>
              </w:rPr>
            </w:pPr>
            <w:r w:rsidRPr="008573B1">
              <w:rPr>
                <w:rFonts w:eastAsia="Times New Roman" w:cs="Times New Roman"/>
                <w:color w:val="000000"/>
                <w:lang w:eastAsia="fr-FR"/>
              </w:rPr>
              <w:br/>
              <w:t xml:space="preserve">1 000 </w:t>
            </w:r>
          </w:p>
        </w:tc>
      </w:tr>
      <w:tr w:rsidR="002B2103" w:rsidRPr="008770F6" w14:paraId="783C34FB" w14:textId="77777777" w:rsidTr="002B2103">
        <w:trPr>
          <w:trHeight w:val="533"/>
          <w:tblCellSpacing w:w="22" w:type="dxa"/>
        </w:trPr>
        <w:tc>
          <w:tcPr>
            <w:tcW w:w="30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EA39031" w14:textId="77777777" w:rsidR="002B2103" w:rsidRPr="008573B1" w:rsidRDefault="002B2103" w:rsidP="002B2103">
            <w:pPr>
              <w:spacing w:before="100" w:beforeAutospacing="1" w:after="100" w:afterAutospacing="1" w:line="240" w:lineRule="auto"/>
              <w:rPr>
                <w:rFonts w:eastAsia="Times New Roman" w:cs="Times New Roman"/>
                <w:color w:val="000000"/>
                <w:lang w:eastAsia="fr-FR"/>
              </w:rPr>
            </w:pPr>
            <w:r w:rsidRPr="008573B1">
              <w:rPr>
                <w:rFonts w:eastAsia="Times New Roman" w:cs="Times New Roman"/>
                <w:color w:val="000000"/>
                <w:lang w:eastAsia="fr-FR"/>
              </w:rPr>
              <w:t xml:space="preserve">Naphtalène </w:t>
            </w:r>
          </w:p>
        </w:tc>
        <w:tc>
          <w:tcPr>
            <w:tcW w:w="230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3DF9F9C" w14:textId="77777777" w:rsidR="002B2103" w:rsidRPr="008573B1" w:rsidRDefault="002B2103" w:rsidP="002B2103">
            <w:pPr>
              <w:spacing w:before="100" w:beforeAutospacing="1" w:after="100" w:afterAutospacing="1" w:line="240" w:lineRule="auto"/>
              <w:jc w:val="center"/>
              <w:rPr>
                <w:rFonts w:eastAsia="Times New Roman" w:cs="Times New Roman"/>
                <w:color w:val="000000"/>
                <w:lang w:eastAsia="fr-FR"/>
              </w:rPr>
            </w:pPr>
            <w:r w:rsidRPr="008573B1">
              <w:rPr>
                <w:rFonts w:eastAsia="Times New Roman" w:cs="Times New Roman"/>
                <w:color w:val="000000"/>
                <w:lang w:eastAsia="fr-FR"/>
              </w:rPr>
              <w:t xml:space="preserve">91-20-3 </w:t>
            </w:r>
          </w:p>
        </w:tc>
        <w:tc>
          <w:tcPr>
            <w:tcW w:w="9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4FB0E84" w14:textId="77777777" w:rsidR="002B2103" w:rsidRPr="008573B1" w:rsidRDefault="002B2103" w:rsidP="002B2103">
            <w:pPr>
              <w:spacing w:before="100" w:beforeAutospacing="1" w:after="100" w:afterAutospacing="1" w:line="240" w:lineRule="auto"/>
              <w:jc w:val="center"/>
              <w:rPr>
                <w:rFonts w:eastAsia="Times New Roman" w:cs="Times New Roman"/>
                <w:color w:val="000000"/>
                <w:lang w:eastAsia="fr-FR"/>
              </w:rPr>
            </w:pPr>
            <w:r w:rsidRPr="008573B1">
              <w:rPr>
                <w:rFonts w:eastAsia="Times New Roman" w:cs="Times New Roman"/>
                <w:color w:val="000000"/>
                <w:lang w:eastAsia="fr-FR"/>
              </w:rPr>
              <w:t xml:space="preserve">1517 </w:t>
            </w:r>
          </w:p>
        </w:tc>
        <w:tc>
          <w:tcPr>
            <w:tcW w:w="3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E68DEE7" w14:textId="77777777" w:rsidR="002B2103" w:rsidRPr="008573B1" w:rsidRDefault="002B2103" w:rsidP="002B2103">
            <w:pPr>
              <w:spacing w:before="100" w:beforeAutospacing="1" w:after="100" w:afterAutospacing="1" w:line="240" w:lineRule="auto"/>
              <w:jc w:val="center"/>
              <w:rPr>
                <w:rFonts w:eastAsia="Times New Roman" w:cs="Times New Roman"/>
                <w:color w:val="000000"/>
                <w:lang w:eastAsia="fr-FR"/>
              </w:rPr>
            </w:pPr>
            <w:r w:rsidRPr="008573B1">
              <w:rPr>
                <w:rFonts w:eastAsia="Times New Roman" w:cs="Times New Roman"/>
                <w:color w:val="000000"/>
                <w:lang w:eastAsia="fr-FR"/>
              </w:rPr>
              <w:t xml:space="preserve">10 </w:t>
            </w:r>
          </w:p>
        </w:tc>
      </w:tr>
      <w:tr w:rsidR="002B2103" w:rsidRPr="008770F6" w14:paraId="7A8EFE99" w14:textId="77777777" w:rsidTr="002B2103">
        <w:trPr>
          <w:trHeight w:val="579"/>
          <w:tblCellSpacing w:w="22" w:type="dxa"/>
        </w:trPr>
        <w:tc>
          <w:tcPr>
            <w:tcW w:w="30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8C9850F" w14:textId="77777777" w:rsidR="002B2103" w:rsidRPr="008573B1" w:rsidRDefault="002B2103" w:rsidP="002B2103">
            <w:pPr>
              <w:spacing w:before="100" w:beforeAutospacing="1" w:after="100" w:afterAutospacing="1" w:line="240" w:lineRule="auto"/>
              <w:rPr>
                <w:rFonts w:eastAsia="Times New Roman" w:cs="Times New Roman"/>
                <w:color w:val="000000"/>
                <w:lang w:eastAsia="fr-FR"/>
              </w:rPr>
            </w:pPr>
            <w:r w:rsidRPr="008573B1">
              <w:rPr>
                <w:rFonts w:eastAsia="Times New Roman" w:cs="Times New Roman"/>
                <w:color w:val="000000"/>
                <w:lang w:eastAsia="fr-FR"/>
              </w:rPr>
              <w:br/>
              <w:t xml:space="preserve">Nonylphénol </w:t>
            </w:r>
          </w:p>
        </w:tc>
        <w:tc>
          <w:tcPr>
            <w:tcW w:w="230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6025E4D" w14:textId="77777777" w:rsidR="002B2103" w:rsidRPr="008573B1" w:rsidRDefault="002B2103" w:rsidP="002B2103">
            <w:pPr>
              <w:spacing w:before="100" w:beforeAutospacing="1" w:after="100" w:afterAutospacing="1" w:line="240" w:lineRule="auto"/>
              <w:jc w:val="center"/>
              <w:rPr>
                <w:rFonts w:eastAsia="Times New Roman" w:cs="Times New Roman"/>
                <w:color w:val="000000"/>
                <w:lang w:eastAsia="fr-FR"/>
              </w:rPr>
            </w:pPr>
            <w:r w:rsidRPr="008573B1">
              <w:rPr>
                <w:rFonts w:eastAsia="Times New Roman" w:cs="Times New Roman"/>
                <w:color w:val="000000"/>
                <w:lang w:eastAsia="fr-FR"/>
              </w:rPr>
              <w:t xml:space="preserve">25154-52-3 </w:t>
            </w:r>
            <w:r w:rsidRPr="008573B1">
              <w:rPr>
                <w:rFonts w:eastAsia="Times New Roman" w:cs="Times New Roman"/>
                <w:color w:val="000000"/>
                <w:lang w:eastAsia="fr-FR"/>
              </w:rPr>
              <w:br/>
              <w:t xml:space="preserve">84852-15-3 </w:t>
            </w:r>
          </w:p>
        </w:tc>
        <w:tc>
          <w:tcPr>
            <w:tcW w:w="9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3E87F3F" w14:textId="77777777" w:rsidR="002B2103" w:rsidRPr="008573B1" w:rsidRDefault="002B2103" w:rsidP="002B2103">
            <w:pPr>
              <w:spacing w:before="100" w:beforeAutospacing="1" w:after="100" w:afterAutospacing="1" w:line="240" w:lineRule="auto"/>
              <w:jc w:val="center"/>
              <w:rPr>
                <w:rFonts w:eastAsia="Times New Roman" w:cs="Times New Roman"/>
                <w:color w:val="000000"/>
                <w:lang w:eastAsia="fr-FR"/>
              </w:rPr>
            </w:pPr>
            <w:r w:rsidRPr="008573B1">
              <w:rPr>
                <w:rFonts w:eastAsia="Times New Roman" w:cs="Times New Roman"/>
                <w:color w:val="000000"/>
                <w:lang w:eastAsia="fr-FR"/>
              </w:rPr>
              <w:br/>
              <w:t xml:space="preserve">6598 </w:t>
            </w:r>
          </w:p>
        </w:tc>
        <w:tc>
          <w:tcPr>
            <w:tcW w:w="3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9667478" w14:textId="77777777" w:rsidR="002B2103" w:rsidRPr="008573B1" w:rsidRDefault="002B2103" w:rsidP="002B2103">
            <w:pPr>
              <w:spacing w:before="100" w:beforeAutospacing="1" w:after="100" w:afterAutospacing="1" w:line="240" w:lineRule="auto"/>
              <w:jc w:val="center"/>
              <w:rPr>
                <w:rFonts w:eastAsia="Times New Roman" w:cs="Times New Roman"/>
                <w:color w:val="000000"/>
                <w:lang w:eastAsia="fr-FR"/>
              </w:rPr>
            </w:pPr>
            <w:r w:rsidRPr="008573B1">
              <w:rPr>
                <w:rFonts w:eastAsia="Times New Roman" w:cs="Times New Roman"/>
                <w:color w:val="000000"/>
                <w:lang w:eastAsia="fr-FR"/>
              </w:rPr>
              <w:br/>
              <w:t xml:space="preserve">50 </w:t>
            </w:r>
          </w:p>
        </w:tc>
      </w:tr>
      <w:tr w:rsidR="002B2103" w:rsidRPr="008770F6" w14:paraId="1234BD84" w14:textId="77777777" w:rsidTr="002B2103">
        <w:trPr>
          <w:trHeight w:val="752"/>
          <w:tblCellSpacing w:w="22" w:type="dxa"/>
        </w:trPr>
        <w:tc>
          <w:tcPr>
            <w:tcW w:w="30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ACA4012" w14:textId="77777777" w:rsidR="002B2103" w:rsidRPr="008573B1" w:rsidRDefault="002B2103" w:rsidP="002B2103">
            <w:pPr>
              <w:spacing w:before="100" w:beforeAutospacing="1" w:after="100" w:afterAutospacing="1" w:line="240" w:lineRule="auto"/>
              <w:rPr>
                <w:rFonts w:eastAsia="Times New Roman" w:cs="Times New Roman"/>
                <w:color w:val="000000"/>
                <w:lang w:eastAsia="fr-FR"/>
              </w:rPr>
            </w:pPr>
            <w:r w:rsidRPr="008573B1">
              <w:rPr>
                <w:rFonts w:eastAsia="Times New Roman" w:cs="Times New Roman"/>
                <w:color w:val="000000"/>
                <w:lang w:eastAsia="fr-FR"/>
              </w:rPr>
              <w:br/>
              <w:t xml:space="preserve">Octylphénol </w:t>
            </w:r>
          </w:p>
        </w:tc>
        <w:tc>
          <w:tcPr>
            <w:tcW w:w="230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C08E28F" w14:textId="77777777" w:rsidR="002B2103" w:rsidRPr="008573B1" w:rsidRDefault="002B2103" w:rsidP="002B2103">
            <w:pPr>
              <w:spacing w:before="100" w:beforeAutospacing="1" w:after="100" w:afterAutospacing="1" w:line="240" w:lineRule="auto"/>
              <w:jc w:val="center"/>
              <w:rPr>
                <w:rFonts w:eastAsia="Times New Roman" w:cs="Times New Roman"/>
                <w:color w:val="000000"/>
                <w:lang w:eastAsia="fr-FR"/>
              </w:rPr>
            </w:pPr>
            <w:r w:rsidRPr="008573B1">
              <w:rPr>
                <w:rFonts w:eastAsia="Times New Roman" w:cs="Times New Roman"/>
                <w:color w:val="000000"/>
                <w:lang w:eastAsia="fr-FR"/>
              </w:rPr>
              <w:t xml:space="preserve">1806-26-4 </w:t>
            </w:r>
            <w:r w:rsidRPr="008573B1">
              <w:rPr>
                <w:rFonts w:eastAsia="Times New Roman" w:cs="Times New Roman"/>
                <w:color w:val="000000"/>
                <w:lang w:eastAsia="fr-FR"/>
              </w:rPr>
              <w:br/>
              <w:t xml:space="preserve">140-66-9 </w:t>
            </w:r>
          </w:p>
        </w:tc>
        <w:tc>
          <w:tcPr>
            <w:tcW w:w="9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BE850A2" w14:textId="77777777" w:rsidR="002B2103" w:rsidRPr="008573B1" w:rsidRDefault="002B2103" w:rsidP="002B2103">
            <w:pPr>
              <w:spacing w:before="100" w:beforeAutospacing="1" w:after="100" w:afterAutospacing="1" w:line="240" w:lineRule="auto"/>
              <w:jc w:val="center"/>
              <w:rPr>
                <w:rFonts w:eastAsia="Times New Roman" w:cs="Times New Roman"/>
                <w:color w:val="000000"/>
                <w:lang w:eastAsia="fr-FR"/>
              </w:rPr>
            </w:pPr>
            <w:r w:rsidRPr="008573B1">
              <w:rPr>
                <w:rFonts w:eastAsia="Times New Roman" w:cs="Times New Roman"/>
                <w:color w:val="000000"/>
                <w:lang w:eastAsia="fr-FR"/>
              </w:rPr>
              <w:br/>
              <w:t xml:space="preserve">6600 </w:t>
            </w:r>
          </w:p>
        </w:tc>
        <w:tc>
          <w:tcPr>
            <w:tcW w:w="3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A6A11AC" w14:textId="77777777" w:rsidR="002B2103" w:rsidRPr="008573B1" w:rsidRDefault="002B2103" w:rsidP="002B2103">
            <w:pPr>
              <w:spacing w:before="100" w:beforeAutospacing="1" w:after="100" w:afterAutospacing="1" w:line="240" w:lineRule="auto"/>
              <w:jc w:val="center"/>
              <w:rPr>
                <w:rFonts w:eastAsia="Times New Roman" w:cs="Times New Roman"/>
                <w:color w:val="000000"/>
                <w:lang w:eastAsia="fr-FR"/>
              </w:rPr>
            </w:pPr>
            <w:r w:rsidRPr="008573B1">
              <w:rPr>
                <w:rFonts w:eastAsia="Times New Roman" w:cs="Times New Roman"/>
                <w:color w:val="000000"/>
                <w:lang w:eastAsia="fr-FR"/>
              </w:rPr>
              <w:br/>
              <w:t xml:space="preserve">100 </w:t>
            </w:r>
          </w:p>
        </w:tc>
      </w:tr>
      <w:tr w:rsidR="002B2103" w:rsidRPr="008770F6" w14:paraId="7427D995" w14:textId="77777777" w:rsidTr="002B2103">
        <w:trPr>
          <w:trHeight w:val="501"/>
          <w:tblCellSpacing w:w="22" w:type="dxa"/>
        </w:trPr>
        <w:tc>
          <w:tcPr>
            <w:tcW w:w="30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C57361E" w14:textId="77777777" w:rsidR="002B2103" w:rsidRPr="008573B1" w:rsidRDefault="002B2103" w:rsidP="002B2103">
            <w:pPr>
              <w:spacing w:before="100" w:beforeAutospacing="1" w:after="100" w:afterAutospacing="1" w:line="240" w:lineRule="auto"/>
              <w:rPr>
                <w:rFonts w:eastAsia="Times New Roman" w:cs="Times New Roman"/>
                <w:color w:val="000000"/>
                <w:lang w:eastAsia="fr-FR"/>
              </w:rPr>
            </w:pPr>
            <w:r w:rsidRPr="008573B1">
              <w:rPr>
                <w:rFonts w:eastAsia="Times New Roman" w:cs="Times New Roman"/>
                <w:color w:val="000000"/>
                <w:lang w:eastAsia="fr-FR"/>
              </w:rPr>
              <w:br/>
              <w:t xml:space="preserve">Toluène </w:t>
            </w:r>
          </w:p>
        </w:tc>
        <w:tc>
          <w:tcPr>
            <w:tcW w:w="230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8C3C31E" w14:textId="77777777" w:rsidR="002B2103" w:rsidRPr="008573B1" w:rsidRDefault="002B2103" w:rsidP="002B2103">
            <w:pPr>
              <w:spacing w:before="100" w:beforeAutospacing="1" w:after="100" w:afterAutospacing="1" w:line="240" w:lineRule="auto"/>
              <w:jc w:val="center"/>
              <w:rPr>
                <w:rFonts w:eastAsia="Times New Roman" w:cs="Times New Roman"/>
                <w:color w:val="000000"/>
                <w:lang w:eastAsia="fr-FR"/>
              </w:rPr>
            </w:pPr>
            <w:r w:rsidRPr="008573B1">
              <w:rPr>
                <w:rFonts w:eastAsia="Times New Roman" w:cs="Times New Roman"/>
                <w:color w:val="000000"/>
                <w:lang w:eastAsia="fr-FR"/>
              </w:rPr>
              <w:br/>
              <w:t xml:space="preserve">108-88-3 </w:t>
            </w:r>
          </w:p>
        </w:tc>
        <w:tc>
          <w:tcPr>
            <w:tcW w:w="9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920FB70" w14:textId="77777777" w:rsidR="002B2103" w:rsidRPr="008573B1" w:rsidRDefault="002B2103" w:rsidP="002B2103">
            <w:pPr>
              <w:spacing w:before="100" w:beforeAutospacing="1" w:after="100" w:afterAutospacing="1" w:line="240" w:lineRule="auto"/>
              <w:jc w:val="center"/>
              <w:rPr>
                <w:rFonts w:eastAsia="Times New Roman" w:cs="Times New Roman"/>
                <w:color w:val="000000"/>
                <w:lang w:eastAsia="fr-FR"/>
              </w:rPr>
            </w:pPr>
            <w:r w:rsidRPr="008573B1">
              <w:rPr>
                <w:rFonts w:eastAsia="Times New Roman" w:cs="Times New Roman"/>
                <w:color w:val="000000"/>
                <w:lang w:eastAsia="fr-FR"/>
              </w:rPr>
              <w:br/>
              <w:t xml:space="preserve">1278 </w:t>
            </w:r>
          </w:p>
        </w:tc>
        <w:tc>
          <w:tcPr>
            <w:tcW w:w="3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15AD19A" w14:textId="77777777" w:rsidR="002B2103" w:rsidRPr="008573B1" w:rsidRDefault="002B2103" w:rsidP="002B2103">
            <w:pPr>
              <w:spacing w:before="100" w:beforeAutospacing="1" w:after="100" w:afterAutospacing="1" w:line="240" w:lineRule="auto"/>
              <w:jc w:val="center"/>
              <w:rPr>
                <w:rFonts w:eastAsia="Times New Roman" w:cs="Times New Roman"/>
                <w:color w:val="000000"/>
                <w:lang w:eastAsia="fr-FR"/>
              </w:rPr>
            </w:pPr>
            <w:r w:rsidRPr="008573B1">
              <w:rPr>
                <w:rFonts w:eastAsia="Times New Roman" w:cs="Times New Roman"/>
                <w:color w:val="000000"/>
                <w:lang w:eastAsia="fr-FR"/>
              </w:rPr>
              <w:br/>
              <w:t xml:space="preserve">10 </w:t>
            </w:r>
          </w:p>
        </w:tc>
      </w:tr>
      <w:tr w:rsidR="002B2103" w:rsidRPr="008770F6" w14:paraId="68BF8EFD" w14:textId="77777777" w:rsidTr="002B2103">
        <w:trPr>
          <w:trHeight w:val="323"/>
          <w:tblCellSpacing w:w="22" w:type="dxa"/>
        </w:trPr>
        <w:tc>
          <w:tcPr>
            <w:tcW w:w="30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7D324C3" w14:textId="77777777" w:rsidR="002B2103" w:rsidRPr="008573B1" w:rsidRDefault="002B2103" w:rsidP="002B2103">
            <w:pPr>
              <w:spacing w:before="100" w:beforeAutospacing="1" w:after="100" w:afterAutospacing="1" w:line="240" w:lineRule="auto"/>
              <w:rPr>
                <w:rFonts w:eastAsia="Times New Roman" w:cs="Times New Roman"/>
                <w:color w:val="000000"/>
                <w:lang w:eastAsia="fr-FR"/>
              </w:rPr>
            </w:pPr>
            <w:r w:rsidRPr="008573B1">
              <w:rPr>
                <w:rFonts w:eastAsia="Times New Roman" w:cs="Times New Roman"/>
                <w:color w:val="000000"/>
                <w:lang w:eastAsia="fr-FR"/>
              </w:rPr>
              <w:br/>
              <w:t xml:space="preserve">Tributylétain cation </w:t>
            </w:r>
          </w:p>
        </w:tc>
        <w:tc>
          <w:tcPr>
            <w:tcW w:w="230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A361B97" w14:textId="77777777" w:rsidR="002B2103" w:rsidRPr="008573B1" w:rsidRDefault="002B2103" w:rsidP="002B2103">
            <w:pPr>
              <w:spacing w:before="100" w:beforeAutospacing="1" w:after="100" w:afterAutospacing="1" w:line="240" w:lineRule="auto"/>
              <w:jc w:val="center"/>
              <w:rPr>
                <w:rFonts w:eastAsia="Times New Roman" w:cs="Times New Roman"/>
                <w:color w:val="000000"/>
                <w:lang w:eastAsia="fr-FR"/>
              </w:rPr>
            </w:pPr>
            <w:r w:rsidRPr="008573B1">
              <w:rPr>
                <w:rFonts w:eastAsia="Times New Roman" w:cs="Times New Roman"/>
                <w:color w:val="000000"/>
                <w:lang w:eastAsia="fr-FR"/>
              </w:rPr>
              <w:br/>
              <w:t xml:space="preserve">36643-28-4 </w:t>
            </w:r>
          </w:p>
        </w:tc>
        <w:tc>
          <w:tcPr>
            <w:tcW w:w="9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8CD4606" w14:textId="77777777" w:rsidR="002B2103" w:rsidRPr="008573B1" w:rsidRDefault="002B2103" w:rsidP="002B2103">
            <w:pPr>
              <w:spacing w:before="100" w:beforeAutospacing="1" w:after="100" w:afterAutospacing="1" w:line="240" w:lineRule="auto"/>
              <w:jc w:val="center"/>
              <w:rPr>
                <w:rFonts w:eastAsia="Times New Roman" w:cs="Times New Roman"/>
                <w:color w:val="000000"/>
                <w:lang w:eastAsia="fr-FR"/>
              </w:rPr>
            </w:pPr>
            <w:r w:rsidRPr="008573B1">
              <w:rPr>
                <w:rFonts w:eastAsia="Times New Roman" w:cs="Times New Roman"/>
                <w:color w:val="000000"/>
                <w:lang w:eastAsia="fr-FR"/>
              </w:rPr>
              <w:br/>
              <w:t xml:space="preserve">2879 </w:t>
            </w:r>
          </w:p>
        </w:tc>
        <w:tc>
          <w:tcPr>
            <w:tcW w:w="3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60429AD" w14:textId="77777777" w:rsidR="002B2103" w:rsidRPr="008573B1" w:rsidRDefault="002B2103" w:rsidP="002B2103">
            <w:pPr>
              <w:spacing w:before="100" w:beforeAutospacing="1" w:after="100" w:afterAutospacing="1" w:line="240" w:lineRule="auto"/>
              <w:jc w:val="center"/>
              <w:rPr>
                <w:rFonts w:eastAsia="Times New Roman" w:cs="Times New Roman"/>
                <w:color w:val="000000"/>
                <w:lang w:eastAsia="fr-FR"/>
              </w:rPr>
            </w:pPr>
            <w:r w:rsidRPr="008573B1">
              <w:rPr>
                <w:rFonts w:eastAsia="Times New Roman" w:cs="Times New Roman"/>
                <w:color w:val="000000"/>
                <w:lang w:eastAsia="fr-FR"/>
              </w:rPr>
              <w:br/>
              <w:t xml:space="preserve">1 000 </w:t>
            </w:r>
          </w:p>
        </w:tc>
      </w:tr>
      <w:tr w:rsidR="002B2103" w:rsidRPr="008770F6" w14:paraId="29850DC7" w14:textId="77777777" w:rsidTr="002B2103">
        <w:trPr>
          <w:trHeight w:val="300"/>
          <w:tblCellSpacing w:w="22" w:type="dxa"/>
        </w:trPr>
        <w:tc>
          <w:tcPr>
            <w:tcW w:w="30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7DD6225" w14:textId="77777777" w:rsidR="002B2103" w:rsidRPr="008573B1" w:rsidRDefault="002B2103" w:rsidP="002B2103">
            <w:pPr>
              <w:spacing w:before="100" w:beforeAutospacing="1" w:after="100" w:afterAutospacing="1" w:line="240" w:lineRule="auto"/>
              <w:rPr>
                <w:rFonts w:eastAsia="Times New Roman" w:cs="Times New Roman"/>
                <w:color w:val="000000"/>
                <w:lang w:eastAsia="fr-FR"/>
              </w:rPr>
            </w:pPr>
            <w:r w:rsidRPr="008573B1">
              <w:rPr>
                <w:rFonts w:eastAsia="Times New Roman" w:cs="Times New Roman"/>
                <w:color w:val="000000"/>
                <w:lang w:eastAsia="fr-FR"/>
              </w:rPr>
              <w:br/>
              <w:t xml:space="preserve">Xylènes </w:t>
            </w:r>
          </w:p>
        </w:tc>
        <w:tc>
          <w:tcPr>
            <w:tcW w:w="230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30ADDF0" w14:textId="77777777" w:rsidR="002B2103" w:rsidRPr="008573B1" w:rsidRDefault="002B2103" w:rsidP="002B2103">
            <w:pPr>
              <w:spacing w:before="100" w:beforeAutospacing="1" w:after="100" w:afterAutospacing="1" w:line="240" w:lineRule="auto"/>
              <w:jc w:val="center"/>
              <w:rPr>
                <w:rFonts w:eastAsia="Times New Roman" w:cs="Times New Roman"/>
                <w:color w:val="000000"/>
                <w:lang w:eastAsia="fr-FR"/>
              </w:rPr>
            </w:pPr>
            <w:r w:rsidRPr="008573B1">
              <w:rPr>
                <w:rFonts w:eastAsia="Times New Roman" w:cs="Times New Roman"/>
                <w:color w:val="000000"/>
                <w:lang w:eastAsia="fr-FR"/>
              </w:rPr>
              <w:br/>
              <w:t xml:space="preserve">1330-20-7 </w:t>
            </w:r>
          </w:p>
        </w:tc>
        <w:tc>
          <w:tcPr>
            <w:tcW w:w="9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2F11860" w14:textId="77777777" w:rsidR="002B2103" w:rsidRPr="008573B1" w:rsidRDefault="002B2103" w:rsidP="002B2103">
            <w:pPr>
              <w:spacing w:before="100" w:beforeAutospacing="1" w:after="100" w:afterAutospacing="1" w:line="240" w:lineRule="auto"/>
              <w:jc w:val="center"/>
              <w:rPr>
                <w:rFonts w:eastAsia="Times New Roman" w:cs="Times New Roman"/>
                <w:color w:val="000000"/>
                <w:lang w:eastAsia="fr-FR"/>
              </w:rPr>
            </w:pPr>
            <w:r w:rsidRPr="008573B1">
              <w:rPr>
                <w:rFonts w:eastAsia="Times New Roman" w:cs="Times New Roman"/>
                <w:color w:val="000000"/>
                <w:lang w:eastAsia="fr-FR"/>
              </w:rPr>
              <w:br/>
              <w:t xml:space="preserve">1780 </w:t>
            </w:r>
          </w:p>
        </w:tc>
        <w:tc>
          <w:tcPr>
            <w:tcW w:w="3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6411310" w14:textId="77777777" w:rsidR="002B2103" w:rsidRPr="008573B1" w:rsidRDefault="002B2103" w:rsidP="002B2103">
            <w:pPr>
              <w:spacing w:before="100" w:beforeAutospacing="1" w:after="100" w:afterAutospacing="1" w:line="240" w:lineRule="auto"/>
              <w:jc w:val="center"/>
              <w:rPr>
                <w:rFonts w:eastAsia="Times New Roman" w:cs="Times New Roman"/>
                <w:color w:val="000000"/>
                <w:lang w:eastAsia="fr-FR"/>
              </w:rPr>
            </w:pPr>
            <w:r w:rsidRPr="008573B1">
              <w:rPr>
                <w:rFonts w:eastAsia="Times New Roman" w:cs="Times New Roman"/>
                <w:color w:val="000000"/>
                <w:lang w:eastAsia="fr-FR"/>
              </w:rPr>
              <w:br/>
              <w:t xml:space="preserve">10 </w:t>
            </w:r>
          </w:p>
        </w:tc>
      </w:tr>
    </w:tbl>
    <w:p w14:paraId="046C1EF2" w14:textId="77777777" w:rsidR="00240412" w:rsidRDefault="00240412" w:rsidP="00240412">
      <w:pPr>
        <w:spacing w:before="100" w:beforeAutospacing="1" w:after="240" w:line="240" w:lineRule="auto"/>
        <w:jc w:val="both"/>
      </w:pPr>
    </w:p>
    <w:p w14:paraId="43F00029" w14:textId="6408ED12" w:rsidR="00240412" w:rsidRDefault="00240412" w:rsidP="00240412">
      <w:pPr>
        <w:pStyle w:val="Paragraphedeliste"/>
        <w:numPr>
          <w:ilvl w:val="0"/>
          <w:numId w:val="9"/>
        </w:numPr>
        <w:spacing w:before="100" w:beforeAutospacing="1" w:after="240" w:line="240" w:lineRule="auto"/>
        <w:jc w:val="both"/>
      </w:pPr>
      <w:r>
        <w:t>Le paramètre SDE est la somme agglomérée des flux annuels des 16 molécules, modulés par les coefficients de pondération (en fonction de leur toxicité).</w:t>
      </w:r>
    </w:p>
    <w:p w14:paraId="057E8107" w14:textId="77777777" w:rsidR="00ED3045" w:rsidRDefault="00ED3045" w:rsidP="00ED3045">
      <w:pPr>
        <w:pStyle w:val="Paragraphedeliste"/>
        <w:spacing w:before="100" w:beforeAutospacing="1" w:after="240" w:line="240" w:lineRule="auto"/>
        <w:jc w:val="both"/>
      </w:pPr>
    </w:p>
    <w:p w14:paraId="2C62591A" w14:textId="5478ADB9" w:rsidR="00831EEF" w:rsidRDefault="00831EEF" w:rsidP="00831EEF">
      <w:pPr>
        <w:pStyle w:val="Paragraphedeliste"/>
        <w:numPr>
          <w:ilvl w:val="0"/>
          <w:numId w:val="9"/>
        </w:numPr>
        <w:spacing w:after="0" w:line="240" w:lineRule="auto"/>
        <w:jc w:val="both"/>
      </w:pPr>
      <w:r>
        <w:t>Seuil de redevabilité</w:t>
      </w:r>
      <w:r>
        <w:rPr>
          <w:rStyle w:val="Appelnotedebasdep"/>
        </w:rPr>
        <w:footnoteReference w:id="2"/>
      </w:r>
      <w:r>
        <w:t xml:space="preserve"> : </w:t>
      </w:r>
      <w:r w:rsidRPr="00C6597C">
        <w:rPr>
          <w:b/>
        </w:rPr>
        <w:t>qui est redevable direct</w:t>
      </w:r>
      <w:r>
        <w:t> ?</w:t>
      </w:r>
    </w:p>
    <w:p w14:paraId="30E5A3BB" w14:textId="189613BA" w:rsidR="008770F6" w:rsidRDefault="00831EEF" w:rsidP="004D01A7">
      <w:pPr>
        <w:spacing w:after="0" w:line="240" w:lineRule="auto"/>
        <w:jc w:val="both"/>
      </w:pPr>
      <w:r>
        <w:t>L</w:t>
      </w:r>
      <w:r w:rsidRPr="006A32A7">
        <w:t>e seuil au-delà duquel un usager est redev</w:t>
      </w:r>
      <w:r>
        <w:t>able direct auprès des Agences de l’Eau est de 9kg/an</w:t>
      </w:r>
      <w:r w:rsidRPr="006A32A7">
        <w:t>.</w:t>
      </w:r>
      <w:r>
        <w:t xml:space="preserve"> </w:t>
      </w:r>
      <w:r w:rsidR="008770F6" w:rsidRPr="006A32A7">
        <w:t>La quantité rejetée prise en compte est la somme des masses de substances rejetées pondérées par le coefficient multiplicateur indiqué</w:t>
      </w:r>
      <w:r w:rsidR="004D01A7" w:rsidRPr="006A32A7">
        <w:t>.</w:t>
      </w:r>
    </w:p>
    <w:p w14:paraId="36323EA2" w14:textId="77777777" w:rsidR="00F46CC9" w:rsidRDefault="00F46CC9" w:rsidP="004D01A7">
      <w:pPr>
        <w:spacing w:after="0" w:line="240" w:lineRule="auto"/>
        <w:jc w:val="both"/>
        <w:rPr>
          <w:b/>
          <w:color w:val="FF0000"/>
          <w:sz w:val="36"/>
          <w:szCs w:val="36"/>
        </w:rPr>
      </w:pPr>
    </w:p>
    <w:p w14:paraId="5B86030F" w14:textId="61D34384" w:rsidR="00F46CC9" w:rsidRDefault="00F46CC9" w:rsidP="004D01A7">
      <w:pPr>
        <w:spacing w:after="0" w:line="240" w:lineRule="auto"/>
        <w:jc w:val="both"/>
      </w:pPr>
      <w:r>
        <w:rPr>
          <w:b/>
          <w:color w:val="FF0000"/>
          <w:sz w:val="36"/>
          <w:szCs w:val="36"/>
        </w:rPr>
        <w:t>R</w:t>
      </w:r>
      <w:r w:rsidRPr="00FC2346">
        <w:rPr>
          <w:b/>
          <w:color w:val="FF0000"/>
          <w:sz w:val="36"/>
          <w:szCs w:val="36"/>
        </w:rPr>
        <w:t>edevables au 1/01/201</w:t>
      </w:r>
      <w:r>
        <w:rPr>
          <w:b/>
          <w:color w:val="FF0000"/>
          <w:sz w:val="36"/>
          <w:szCs w:val="36"/>
        </w:rPr>
        <w:t>6</w:t>
      </w:r>
    </w:p>
    <w:p w14:paraId="74C6FBA5" w14:textId="77777777" w:rsidR="004D01A7" w:rsidRDefault="004D01A7" w:rsidP="004D01A7">
      <w:pPr>
        <w:spacing w:after="0" w:line="240" w:lineRule="auto"/>
        <w:jc w:val="both"/>
      </w:pPr>
    </w:p>
    <w:p w14:paraId="1C7C9EBB" w14:textId="77777777" w:rsidR="00F46CC9" w:rsidRDefault="00F46CC9" w:rsidP="00F46CC9">
      <w:pPr>
        <w:spacing w:after="0" w:line="240" w:lineRule="auto"/>
        <w:jc w:val="both"/>
      </w:pPr>
      <w:r w:rsidRPr="0049322A">
        <w:t xml:space="preserve">Cet élargissement </w:t>
      </w:r>
      <w:r>
        <w:t xml:space="preserve">de l’assiette de la redevance </w:t>
      </w:r>
      <w:r w:rsidRPr="0049322A">
        <w:t>aurait dû entrer en vigueur au 1er janvier 2014</w:t>
      </w:r>
      <w:r>
        <w:t>,</w:t>
      </w:r>
      <w:r w:rsidRPr="0049322A">
        <w:t xml:space="preserve"> mais le décret d'application n'a pas été publié à temps.</w:t>
      </w:r>
      <w:r>
        <w:t xml:space="preserve"> </w:t>
      </w:r>
    </w:p>
    <w:p w14:paraId="4649D0E0" w14:textId="0B4406FC" w:rsidR="007F00A5" w:rsidRDefault="00F46CC9" w:rsidP="00F46CC9">
      <w:pPr>
        <w:spacing w:after="0" w:line="240" w:lineRule="auto"/>
        <w:jc w:val="both"/>
        <w:rPr>
          <w:rFonts w:ascii="Calibri" w:eastAsia="Times New Roman" w:hAnsi="Calibri" w:cs="Times New Roman"/>
          <w:color w:val="000000"/>
          <w:sz w:val="24"/>
          <w:szCs w:val="24"/>
          <w:lang w:eastAsia="fr-FR"/>
        </w:rPr>
      </w:pPr>
      <w:r>
        <w:t>L</w:t>
      </w:r>
      <w:r w:rsidR="004D01A7" w:rsidRPr="004D01A7">
        <w:t xml:space="preserve">e décret est </w:t>
      </w:r>
      <w:r w:rsidR="004D01A7" w:rsidRPr="00F46CC9">
        <w:t>applicable au 1er janvier 2015</w:t>
      </w:r>
      <w:r w:rsidR="007F00A5" w:rsidRPr="00F46CC9">
        <w:t>,</w:t>
      </w:r>
      <w:r w:rsidR="007F00A5">
        <w:t xml:space="preserve"> mais, tant que les Comités de Bassin ne se sont pas mis d’accord sur les taux de redevances, elles ne s’appliquent pas</w:t>
      </w:r>
      <w:r w:rsidR="004D01A7" w:rsidRPr="004D01A7">
        <w:t xml:space="preserve">. </w:t>
      </w:r>
      <w:r w:rsidR="008103C5">
        <w:t>I</w:t>
      </w:r>
      <w:r w:rsidR="007F00A5">
        <w:t>l est prévu que l</w:t>
      </w:r>
      <w:r w:rsidR="007F00A5" w:rsidRPr="004D01A7">
        <w:rPr>
          <w:rFonts w:ascii="Calibri" w:eastAsia="Times New Roman" w:hAnsi="Calibri" w:cs="Times New Roman"/>
          <w:color w:val="000000"/>
          <w:sz w:val="24"/>
          <w:szCs w:val="24"/>
          <w:lang w:eastAsia="fr-FR"/>
        </w:rPr>
        <w:t xml:space="preserve">es </w:t>
      </w:r>
      <w:r w:rsidR="007F00A5">
        <w:rPr>
          <w:rFonts w:ascii="Calibri" w:eastAsia="Times New Roman" w:hAnsi="Calibri" w:cs="Times New Roman"/>
          <w:color w:val="000000"/>
          <w:sz w:val="24"/>
          <w:szCs w:val="24"/>
          <w:lang w:eastAsia="fr-FR"/>
        </w:rPr>
        <w:t>CB</w:t>
      </w:r>
      <w:r w:rsidR="007F00A5" w:rsidRPr="004D01A7">
        <w:rPr>
          <w:rFonts w:ascii="Calibri" w:eastAsia="Times New Roman" w:hAnsi="Calibri" w:cs="Times New Roman"/>
          <w:color w:val="000000"/>
          <w:sz w:val="24"/>
          <w:szCs w:val="24"/>
          <w:lang w:eastAsia="fr-FR"/>
        </w:rPr>
        <w:t xml:space="preserve"> fixent </w:t>
      </w:r>
      <w:r w:rsidR="007F00A5">
        <w:rPr>
          <w:rFonts w:ascii="Calibri" w:eastAsia="Times New Roman" w:hAnsi="Calibri" w:cs="Times New Roman"/>
          <w:color w:val="000000"/>
          <w:sz w:val="24"/>
          <w:szCs w:val="24"/>
          <w:lang w:eastAsia="fr-FR"/>
        </w:rPr>
        <w:t>c</w:t>
      </w:r>
      <w:r w:rsidR="007F00A5" w:rsidRPr="004D01A7">
        <w:rPr>
          <w:rFonts w:ascii="Calibri" w:eastAsia="Times New Roman" w:hAnsi="Calibri" w:cs="Times New Roman"/>
          <w:color w:val="000000"/>
          <w:sz w:val="24"/>
          <w:szCs w:val="24"/>
          <w:lang w:eastAsia="fr-FR"/>
        </w:rPr>
        <w:t>e</w:t>
      </w:r>
      <w:r w:rsidR="007F00A5">
        <w:rPr>
          <w:rFonts w:ascii="Calibri" w:eastAsia="Times New Roman" w:hAnsi="Calibri" w:cs="Times New Roman"/>
          <w:color w:val="000000"/>
          <w:sz w:val="24"/>
          <w:szCs w:val="24"/>
          <w:lang w:eastAsia="fr-FR"/>
        </w:rPr>
        <w:t>s</w:t>
      </w:r>
      <w:r w:rsidR="007F00A5" w:rsidRPr="004D01A7">
        <w:rPr>
          <w:rFonts w:ascii="Calibri" w:eastAsia="Times New Roman" w:hAnsi="Calibri" w:cs="Times New Roman"/>
          <w:color w:val="000000"/>
          <w:sz w:val="24"/>
          <w:szCs w:val="24"/>
          <w:lang w:eastAsia="fr-FR"/>
        </w:rPr>
        <w:t xml:space="preserve"> taux avant le 31 octobre 2015</w:t>
      </w:r>
      <w:r>
        <w:rPr>
          <w:rFonts w:ascii="Calibri" w:eastAsia="Times New Roman" w:hAnsi="Calibri" w:cs="Times New Roman"/>
          <w:color w:val="000000"/>
          <w:sz w:val="24"/>
          <w:szCs w:val="24"/>
          <w:lang w:eastAsia="fr-FR"/>
        </w:rPr>
        <w:t>,</w:t>
      </w:r>
      <w:r w:rsidR="007F00A5" w:rsidRPr="004D01A7">
        <w:rPr>
          <w:rFonts w:ascii="Calibri" w:eastAsia="Times New Roman" w:hAnsi="Calibri" w:cs="Times New Roman"/>
          <w:color w:val="000000"/>
          <w:sz w:val="24"/>
          <w:szCs w:val="24"/>
          <w:lang w:eastAsia="fr-FR"/>
        </w:rPr>
        <w:t xml:space="preserve"> pour l’année 2016.</w:t>
      </w:r>
      <w:r w:rsidR="007F00A5">
        <w:rPr>
          <w:rFonts w:ascii="Calibri" w:eastAsia="Times New Roman" w:hAnsi="Calibri" w:cs="Times New Roman"/>
          <w:color w:val="000000"/>
          <w:sz w:val="24"/>
          <w:szCs w:val="24"/>
          <w:lang w:eastAsia="fr-FR"/>
        </w:rPr>
        <w:t xml:space="preserve"> </w:t>
      </w:r>
    </w:p>
    <w:p w14:paraId="3CFB9322" w14:textId="03F5A3F0" w:rsidR="00A77C94" w:rsidRDefault="00A77C94" w:rsidP="00A77C94">
      <w:pPr>
        <w:spacing w:before="100" w:beforeAutospacing="1" w:after="100" w:afterAutospacing="1" w:line="240" w:lineRule="auto"/>
        <w:rPr>
          <w:rFonts w:ascii="Calibri" w:eastAsia="Times New Roman" w:hAnsi="Calibri" w:cs="Times New Roman"/>
          <w:color w:val="000000"/>
          <w:sz w:val="24"/>
          <w:szCs w:val="24"/>
          <w:lang w:eastAsia="fr-FR"/>
        </w:rPr>
      </w:pPr>
      <w:r>
        <w:rPr>
          <w:rFonts w:ascii="Arial" w:hAnsi="Arial" w:cs="Arial"/>
          <w:noProof/>
          <w:sz w:val="20"/>
          <w:szCs w:val="20"/>
          <w:lang w:eastAsia="fr-FR"/>
        </w:rPr>
        <mc:AlternateContent>
          <mc:Choice Requires="wps">
            <w:drawing>
              <wp:anchor distT="0" distB="0" distL="114300" distR="114300" simplePos="0" relativeHeight="251658240" behindDoc="0" locked="0" layoutInCell="1" allowOverlap="1" wp14:anchorId="4DFB906B" wp14:editId="2C99E978">
                <wp:simplePos x="0" y="0"/>
                <wp:positionH relativeFrom="column">
                  <wp:posOffset>1595755</wp:posOffset>
                </wp:positionH>
                <wp:positionV relativeFrom="paragraph">
                  <wp:posOffset>179071</wp:posOffset>
                </wp:positionV>
                <wp:extent cx="3857625" cy="552450"/>
                <wp:effectExtent l="0" t="0" r="28575" b="19050"/>
                <wp:wrapNone/>
                <wp:docPr id="5" name="Zone de texte 5"/>
                <wp:cNvGraphicFramePr/>
                <a:graphic xmlns:a="http://schemas.openxmlformats.org/drawingml/2006/main">
                  <a:graphicData uri="http://schemas.microsoft.com/office/word/2010/wordprocessingShape">
                    <wps:wsp>
                      <wps:cNvSpPr txBox="1"/>
                      <wps:spPr>
                        <a:xfrm>
                          <a:off x="0" y="0"/>
                          <a:ext cx="3857625" cy="552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8AEDC0A" w14:textId="039A4515" w:rsidR="00A77C94" w:rsidRPr="00ED3045" w:rsidRDefault="00DE4C57" w:rsidP="00A77C94">
                            <w:pPr>
                              <w:spacing w:before="100" w:beforeAutospacing="1" w:after="100" w:afterAutospacing="1" w:line="240" w:lineRule="auto"/>
                              <w:rPr>
                                <w:rFonts w:ascii="Times New Roman" w:eastAsia="Times New Roman" w:hAnsi="Times New Roman" w:cs="Times New Roman"/>
                                <w:b/>
                                <w:color w:val="000000"/>
                                <w:sz w:val="24"/>
                                <w:szCs w:val="24"/>
                                <w:lang w:eastAsia="fr-FR"/>
                              </w:rPr>
                            </w:pPr>
                            <w:r w:rsidRPr="00ED3045">
                              <w:rPr>
                                <w:b/>
                              </w:rPr>
                              <w:t>L</w:t>
                            </w:r>
                            <w:r w:rsidR="00A77C94" w:rsidRPr="00ED3045">
                              <w:rPr>
                                <w:b/>
                              </w:rPr>
                              <w:t xml:space="preserve">e paramètre SD sera calculé sur l’année 2016, la redevance sera versée en 2017. </w:t>
                            </w:r>
                          </w:p>
                          <w:p w14:paraId="7060F70C" w14:textId="77777777" w:rsidR="00A77C94" w:rsidRDefault="00A77C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DFB906B" id="Zone de texte 5" o:spid="_x0000_s1028" type="#_x0000_t202" style="position:absolute;margin-left:125.65pt;margin-top:14.1pt;width:303.75pt;height:43.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Nk2mgIAAL4FAAAOAAAAZHJzL2Uyb0RvYy54bWysVFtP2zAUfp+0/2D5faQtDWMVKepATJMQ&#10;oMGEtDfXsamF7ePZbpPu1+/YSUq5vDDtJbF9vnP7zuXktDWabIQPCmxFxwcjSoTlUCv7UNGfdxef&#10;jikJkdmaabCiolsR6On844eTxs3EBFaga+EJGrFh1riKrmJ0s6IIfCUMCwfghEWhBG9YxKt/KGrP&#10;GrRudDEZjY6KBnztPHARAr6ed0I6z/alFDxeSxlEJLqiGFvMX5+/y/Qt5ids9uCZWyneh8H+IQrD&#10;lEWnO1PnLDKy9uqVKaO4hwAyHnAwBUipuMg5YDbj0YtsblfMiZwLkhPcjqbw/8zyq82NJ6quaEmJ&#10;ZQZL9AsLRWpBomijIGWiqHFhhshbh9jYfoUWSz28B3xMmbfSm/THnAjKkeztjmC0RDg+Hh6Xn48m&#10;6ImjrCwn0zJXoHjSdj7EbwIMSYeKeixg5pVtLkPESBA6QJKzAFrVF0rrfElNI860JxuG5dYxx4ga&#10;z1DakqaiR4fo+pWFZHqnv9SMP6Ysn1vAm7ZJU+T26sNKDHVM5FPcapEw2v4QEunNhLwRI+Nc2F2c&#10;GZ1QEjN6j2KPf4rqPcpdHqiRPYONO2WjLPiOpefU1o8DtbLDI0l7eadjbJdt7qvJ0ChLqLfYPx66&#10;IQyOXyjk+5KFeMM8Th22DG6SeI0fqQGLBP2JkhX4P2+9JzwOA0opaXCKKxp+r5kXlOjvFsfky3g6&#10;TWOfL9Py8wQvfl+y3JfYtTkD7Jwx7izH8zHhox6O0oO5x4WzSF5RxCxH3xWNw/EsdrsFFxYXi0UG&#10;4aA7Fi/trePJdGI59dlde8+86/s8zdoVDPPOZi/avcMmTQuLdQSp8iwknjtWe/5xSeR27Rda2kL7&#10;94x6WrvzvwAAAP//AwBQSwMEFAAGAAgAAAAhAKshxbjcAAAACgEAAA8AAABkcnMvZG93bnJldi54&#10;bWxMj8FOwzAMhu9IvEPkSdxY2qKiUJpOgAYXTmyIc9Z4SbQmqZqsK2+POcHNlj/9/v52s/iBzTgl&#10;F4OEcl0Aw9BH7YKR8Ll/vRXAUlZBqyEGlPCNCTbd9VWrGh0v4QPnXTaMQkJqlASb89hwnnqLXqV1&#10;HDHQ7RgnrzKtk+F6UhcK9wOviuKee+UCfbBqxBeL/Wl39hK2z+bB9EJNdiu0c/PydXw3b1LerJan&#10;R2AZl/wHw68+qUNHTod4DjqxQUJVl3eE0iAqYASIWlCXA5FlXQHvWv6/QvcDAAD//wMAUEsBAi0A&#10;FAAGAAgAAAAhALaDOJL+AAAA4QEAABMAAAAAAAAAAAAAAAAAAAAAAFtDb250ZW50X1R5cGVzXS54&#10;bWxQSwECLQAUAAYACAAAACEAOP0h/9YAAACUAQAACwAAAAAAAAAAAAAAAAAvAQAAX3JlbHMvLnJl&#10;bHNQSwECLQAUAAYACAAAACEAGOjZNpoCAAC+BQAADgAAAAAAAAAAAAAAAAAuAgAAZHJzL2Uyb0Rv&#10;Yy54bWxQSwECLQAUAAYACAAAACEAqyHFuNwAAAAKAQAADwAAAAAAAAAAAAAAAAD0BAAAZHJzL2Rv&#10;d25yZXYueG1sUEsFBgAAAAAEAAQA8wAAAP0FAAAAAA==&#10;" fillcolor="white [3201]" strokeweight=".5pt">
                <v:textbox>
                  <w:txbxContent>
                    <w:p w14:paraId="48AEDC0A" w14:textId="039A4515" w:rsidR="00A77C94" w:rsidRPr="00ED3045" w:rsidRDefault="00DE4C57" w:rsidP="00A77C94">
                      <w:pPr>
                        <w:spacing w:before="100" w:beforeAutospacing="1" w:after="100" w:afterAutospacing="1" w:line="240" w:lineRule="auto"/>
                        <w:rPr>
                          <w:rFonts w:ascii="Times New Roman" w:eastAsia="Times New Roman" w:hAnsi="Times New Roman" w:cs="Times New Roman"/>
                          <w:b/>
                          <w:color w:val="000000"/>
                          <w:sz w:val="24"/>
                          <w:szCs w:val="24"/>
                          <w:lang w:eastAsia="fr-FR"/>
                        </w:rPr>
                      </w:pPr>
                      <w:r w:rsidRPr="00ED3045">
                        <w:rPr>
                          <w:b/>
                        </w:rPr>
                        <w:t>L</w:t>
                      </w:r>
                      <w:r w:rsidR="00A77C94" w:rsidRPr="00ED3045">
                        <w:rPr>
                          <w:b/>
                        </w:rPr>
                        <w:t xml:space="preserve">e paramètre SD sera calculé sur l’année 2016, la redevance sera versée en 2017. </w:t>
                      </w:r>
                    </w:p>
                    <w:p w14:paraId="7060F70C" w14:textId="77777777" w:rsidR="00A77C94" w:rsidRDefault="00A77C94"/>
                  </w:txbxContent>
                </v:textbox>
              </v:shape>
            </w:pict>
          </mc:Fallback>
        </mc:AlternateContent>
      </w:r>
      <w:r>
        <w:rPr>
          <w:rFonts w:ascii="Arial" w:hAnsi="Arial" w:cs="Arial"/>
          <w:noProof/>
          <w:sz w:val="20"/>
          <w:szCs w:val="20"/>
          <w:lang w:eastAsia="fr-FR"/>
        </w:rPr>
        <w:t xml:space="preserve">  </w:t>
      </w:r>
      <w:r>
        <w:rPr>
          <w:rFonts w:ascii="Arial" w:hAnsi="Arial" w:cs="Arial"/>
          <w:noProof/>
          <w:sz w:val="20"/>
          <w:szCs w:val="20"/>
          <w:lang w:eastAsia="fr-FR"/>
        </w:rPr>
        <w:drawing>
          <wp:inline distT="0" distB="0" distL="0" distR="0" wp14:anchorId="5B0B7805" wp14:editId="653FE24E">
            <wp:extent cx="1247775" cy="763905"/>
            <wp:effectExtent l="0" t="0" r="9525" b="0"/>
            <wp:docPr id="4" name="Image 4" descr="http://israelvalley.s3-eu-west-1.amazonaws.com/files/000/008/510/original/euro.jpg?1362301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israelvalley.s3-eu-west-1.amazonaws.com/files/000/008/510/original/euro.jpg?136230193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0209" cy="765395"/>
                    </a:xfrm>
                    <a:prstGeom prst="rect">
                      <a:avLst/>
                    </a:prstGeom>
                    <a:noFill/>
                    <a:ln>
                      <a:noFill/>
                    </a:ln>
                  </pic:spPr>
                </pic:pic>
              </a:graphicData>
            </a:graphic>
          </wp:inline>
        </w:drawing>
      </w:r>
    </w:p>
    <w:p w14:paraId="62374B96" w14:textId="17DBE122" w:rsidR="0094452E" w:rsidRPr="000C66F4" w:rsidRDefault="0094452E" w:rsidP="0094452E">
      <w:pPr>
        <w:spacing w:before="100" w:beforeAutospacing="1" w:after="240" w:line="240" w:lineRule="auto"/>
        <w:jc w:val="both"/>
      </w:pPr>
      <w:r>
        <w:lastRenderedPageBreak/>
        <w:t>L</w:t>
      </w:r>
      <w:r w:rsidRPr="000C66F4">
        <w:t xml:space="preserve">e tarif de la redevance est fixé par chaque </w:t>
      </w:r>
      <w:r w:rsidR="00DE4C57">
        <w:t xml:space="preserve">Comité de Bassin au sein des </w:t>
      </w:r>
      <w:r>
        <w:t>A</w:t>
      </w:r>
      <w:r w:rsidRPr="000C66F4">
        <w:t>gence</w:t>
      </w:r>
      <w:r w:rsidR="00DE4C57">
        <w:t>s</w:t>
      </w:r>
      <w:r>
        <w:t>, dans la limite de plafonds fixés par décret</w:t>
      </w:r>
      <w:r>
        <w:rPr>
          <w:rStyle w:val="Appelnotedebasdep"/>
        </w:rPr>
        <w:footnoteReference w:id="3"/>
      </w:r>
      <w:r w:rsidRPr="000C66F4">
        <w:t> :</w:t>
      </w:r>
    </w:p>
    <w:p w14:paraId="7E5B91C1" w14:textId="77777777" w:rsidR="0094452E" w:rsidRPr="000C66F4" w:rsidRDefault="0094452E" w:rsidP="0094452E">
      <w:pPr>
        <w:pStyle w:val="Paragraphedeliste"/>
        <w:numPr>
          <w:ilvl w:val="0"/>
          <w:numId w:val="4"/>
        </w:numPr>
        <w:spacing w:before="100" w:beforeAutospacing="1" w:after="240" w:line="240" w:lineRule="auto"/>
        <w:jc w:val="both"/>
      </w:pPr>
      <w:r w:rsidRPr="000C66F4">
        <w:t xml:space="preserve">dans une limite de 10 €/kg (compte tenu des coefficients pondérateurs) pour les substances rejetées dans les eaux superficielles </w:t>
      </w:r>
    </w:p>
    <w:p w14:paraId="19F39845" w14:textId="77777777" w:rsidR="0094452E" w:rsidRDefault="0094452E" w:rsidP="0094452E">
      <w:pPr>
        <w:pStyle w:val="Paragraphedeliste"/>
        <w:numPr>
          <w:ilvl w:val="0"/>
          <w:numId w:val="4"/>
        </w:numPr>
        <w:spacing w:before="100" w:beforeAutospacing="1" w:after="240" w:line="240" w:lineRule="auto"/>
        <w:jc w:val="both"/>
      </w:pPr>
      <w:r w:rsidRPr="000C66F4">
        <w:t xml:space="preserve">et de 16,60 €/kg pour celles rejetées dans les masses d'eau souterraines. </w:t>
      </w:r>
    </w:p>
    <w:p w14:paraId="541FA4B6" w14:textId="6DDB414B" w:rsidR="00C22B54" w:rsidRDefault="00636229" w:rsidP="00C22B54">
      <w:pPr>
        <w:spacing w:before="100" w:beforeAutospacing="1" w:after="240" w:line="240" w:lineRule="auto"/>
        <w:jc w:val="both"/>
        <w:rPr>
          <w:rFonts w:ascii="Arial" w:hAnsi="Arial" w:cs="Arial"/>
          <w:noProof/>
          <w:sz w:val="20"/>
          <w:szCs w:val="20"/>
          <w:lang w:eastAsia="fr-FR"/>
        </w:rPr>
      </w:pPr>
      <w:r>
        <w:rPr>
          <w:b/>
          <w:color w:val="FF0000"/>
          <w:sz w:val="36"/>
          <w:szCs w:val="36"/>
        </w:rPr>
        <w:t xml:space="preserve">Obligation de </w:t>
      </w:r>
      <w:r w:rsidR="00E060B9" w:rsidRPr="00532958">
        <w:rPr>
          <w:b/>
          <w:color w:val="FF0000"/>
          <w:sz w:val="36"/>
          <w:szCs w:val="36"/>
        </w:rPr>
        <w:t>Suivi Régulier des Rejets (SRR)</w:t>
      </w:r>
      <w:r w:rsidR="00C22B54" w:rsidRPr="00C22B54">
        <w:rPr>
          <w:rFonts w:ascii="Arial" w:hAnsi="Arial" w:cs="Arial"/>
          <w:noProof/>
          <w:sz w:val="20"/>
          <w:szCs w:val="20"/>
          <w:lang w:eastAsia="fr-FR"/>
        </w:rPr>
        <w:t xml:space="preserve"> </w:t>
      </w:r>
    </w:p>
    <w:p w14:paraId="3B3EB6D6" w14:textId="0F64C865" w:rsidR="00E060B9" w:rsidRDefault="00C22B54" w:rsidP="00C22B54">
      <w:pPr>
        <w:spacing w:before="100" w:beforeAutospacing="1" w:after="240" w:line="240" w:lineRule="auto"/>
        <w:ind w:left="5664" w:firstLine="708"/>
        <w:jc w:val="both"/>
        <w:rPr>
          <w:b/>
          <w:color w:val="FF0000"/>
          <w:sz w:val="36"/>
          <w:szCs w:val="36"/>
        </w:rPr>
      </w:pPr>
      <w:r>
        <w:rPr>
          <w:b/>
          <w:noProof/>
          <w:color w:val="FF0000"/>
          <w:sz w:val="36"/>
          <w:szCs w:val="36"/>
          <w:lang w:eastAsia="fr-FR"/>
        </w:rPr>
        <mc:AlternateContent>
          <mc:Choice Requires="wps">
            <w:drawing>
              <wp:anchor distT="0" distB="0" distL="114300" distR="114300" simplePos="0" relativeHeight="251661312" behindDoc="0" locked="0" layoutInCell="1" allowOverlap="1" wp14:anchorId="64D1074D" wp14:editId="00DB2BEC">
                <wp:simplePos x="0" y="0"/>
                <wp:positionH relativeFrom="column">
                  <wp:posOffset>43180</wp:posOffset>
                </wp:positionH>
                <wp:positionV relativeFrom="paragraph">
                  <wp:posOffset>201295</wp:posOffset>
                </wp:positionV>
                <wp:extent cx="3857625" cy="942975"/>
                <wp:effectExtent l="0" t="0" r="9525" b="9525"/>
                <wp:wrapNone/>
                <wp:docPr id="8" name="Zone de texte 8"/>
                <wp:cNvGraphicFramePr/>
                <a:graphic xmlns:a="http://schemas.openxmlformats.org/drawingml/2006/main">
                  <a:graphicData uri="http://schemas.microsoft.com/office/word/2010/wordprocessingShape">
                    <wps:wsp>
                      <wps:cNvSpPr txBox="1"/>
                      <wps:spPr>
                        <a:xfrm>
                          <a:off x="0" y="0"/>
                          <a:ext cx="3857625" cy="942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22DB65E" w14:textId="77777777" w:rsidR="00C22B54" w:rsidRPr="00ED3045" w:rsidRDefault="00C22B54" w:rsidP="00C22B54">
                            <w:pPr>
                              <w:pStyle w:val="Paragraphedeliste"/>
                              <w:numPr>
                                <w:ilvl w:val="0"/>
                                <w:numId w:val="10"/>
                              </w:numPr>
                              <w:spacing w:after="0" w:line="240" w:lineRule="auto"/>
                              <w:jc w:val="both"/>
                              <w:rPr>
                                <w:b/>
                              </w:rPr>
                            </w:pPr>
                            <w:r w:rsidRPr="00ED3045">
                              <w:rPr>
                                <w:b/>
                              </w:rPr>
                              <w:t xml:space="preserve">Pour qui ? </w:t>
                            </w:r>
                          </w:p>
                          <w:p w14:paraId="6EBA1B8C" w14:textId="77777777" w:rsidR="00C22B54" w:rsidRDefault="00C22B54" w:rsidP="00C22B54">
                            <w:pPr>
                              <w:spacing w:after="0" w:line="240" w:lineRule="auto"/>
                              <w:jc w:val="both"/>
                            </w:pPr>
                            <w:r w:rsidRPr="004E6443">
                              <w:t>Un SRR doit obligatoirement être mis en œuvre par les assujettis dès que le niveau théorique de pollution atteint 360 kg/an de substances (calculé en fonction des coefficients pondérateurs</w:t>
                            </w:r>
                            <w:r>
                              <w:t>)</w:t>
                            </w:r>
                          </w:p>
                          <w:p w14:paraId="1A64CB86" w14:textId="77777777" w:rsidR="00C22B54" w:rsidRDefault="00C22B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D1074D" id="Zone de texte 8" o:spid="_x0000_s1029" type="#_x0000_t202" style="position:absolute;left:0;text-align:left;margin-left:3.4pt;margin-top:15.85pt;width:303.75pt;height:7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3QlAIAAJYFAAAOAAAAZHJzL2Uyb0RvYy54bWysVE1PGzEQvVfqf7B8L5uEBELEBqUgqkoI&#10;UKFC6s3x2sSq7XFtJ7vh13fs3U1SyoWql92x582M583H+UVjNNkIHxTYkg6PBpQIy6FS9rmk3x+v&#10;P00pCZHZimmwoqRbEejF/OOH89rNxAhWoCvhCTqxYVa7kq5idLOiCHwlDAtH4IRFpQRvWMSjfy4q&#10;z2r0bnQxGgxOihp85TxwEQLeXrVKOs/+pRQ83kkZRCS6pPi2mL8+f5fpW8zP2ezZM7dSvHsG+4dX&#10;GKYsBt25umKRkbVXf7kyinsIIOMRB1OAlIqLnANmMxy8yuZhxZzIuSA5we1oCv/PLb/d3HuiqpJi&#10;oSwzWKIfWChSCRJFEwWZJopqF2aIfHCIjc1naLDU/X3Ay5R5I71Jf8yJoB7J3u4IRk+E4+XxdHJ6&#10;MppQwlF3Nh6dnU6Sm2Jv7XyIXwQYkoSSeixg5pVtbkJsoT0kBQugVXWttM6H1DTiUnuyYVhuHfMb&#10;0fkfKG1JXdKT48kgO7aQzFvP2iY3IrdNFy5l3maYpbjVImG0/SYk0pYTfSM241zYXfyMTiiJod5j&#10;2OH3r3qPcZsHWuTIYOPO2CgLPmef52xPWfWzp0y2eKzNQd5JjM2yyf1y3DfAEqot9oWHdriC49cK&#10;i3fDQrxnHqcJWwE3RLzDj9SA5EMnUbIC//LWfcJjk6OWkhqns6Th15p5QYn+arH9z4bjcRrnfBhP&#10;Tkd48Iea5aHGrs0lYEcMcRc5nsWEj7oXpQfzhItkkaKiilmOsUsae/EytjsDFxEXi0UG4QA7Fm/s&#10;g+PJdWI5teZj88S86/o3zdAt9HPMZq/auMUmSwuLdQSpco8nnltWO/5x+POUdIsqbZfDc0bt1+n8&#10;NwAAAP//AwBQSwMEFAAGAAgAAAAhAFwxZFHgAAAACAEAAA8AAABkcnMvZG93bnJldi54bWxMj09P&#10;g0AUxO8mfofNM/Fi7EJR2iBLY4x/kt4srcbbln0CkX1L2C3gt/d50uNkJjO/yTez7cSIg28dKYgX&#10;EQikypmWagX78ul6DcIHTUZ3jlDBN3rYFOdnuc6Mm+gVx12oBZeQz7SCJoQ+k9JXDVrtF65HYu/T&#10;DVYHlkMtzaAnLredXEZRKq1uiRca3eNDg9XX7mQVfFzV71s/Px+m5DbpH1/GcvVmSqUuL+b7OxAB&#10;5/AXhl98RoeCmY7uRMaLTkHK4EFBEq9AsJ3GNwmII+fW0RJkkcv/B4ofAAAA//8DAFBLAQItABQA&#10;BgAIAAAAIQC2gziS/gAAAOEBAAATAAAAAAAAAAAAAAAAAAAAAABbQ29udGVudF9UeXBlc10ueG1s&#10;UEsBAi0AFAAGAAgAAAAhADj9If/WAAAAlAEAAAsAAAAAAAAAAAAAAAAALwEAAF9yZWxzLy5yZWxz&#10;UEsBAi0AFAAGAAgAAAAhAD+l7dCUAgAAlgUAAA4AAAAAAAAAAAAAAAAALgIAAGRycy9lMm9Eb2Mu&#10;eG1sUEsBAi0AFAAGAAgAAAAhAFwxZFHgAAAACAEAAA8AAAAAAAAAAAAAAAAA7gQAAGRycy9kb3du&#10;cmV2LnhtbFBLBQYAAAAABAAEAPMAAAD7BQAAAAA=&#10;" fillcolor="white [3201]" stroked="f" strokeweight=".5pt">
                <v:textbox>
                  <w:txbxContent>
                    <w:p w14:paraId="422DB65E" w14:textId="77777777" w:rsidR="00C22B54" w:rsidRPr="00ED3045" w:rsidRDefault="00C22B54" w:rsidP="00C22B54">
                      <w:pPr>
                        <w:pStyle w:val="Paragraphedeliste"/>
                        <w:numPr>
                          <w:ilvl w:val="0"/>
                          <w:numId w:val="10"/>
                        </w:numPr>
                        <w:spacing w:after="0" w:line="240" w:lineRule="auto"/>
                        <w:jc w:val="both"/>
                        <w:rPr>
                          <w:b/>
                        </w:rPr>
                      </w:pPr>
                      <w:r w:rsidRPr="00ED3045">
                        <w:rPr>
                          <w:b/>
                        </w:rPr>
                        <w:t xml:space="preserve">Pour qui ? </w:t>
                      </w:r>
                    </w:p>
                    <w:p w14:paraId="6EBA1B8C" w14:textId="77777777" w:rsidR="00C22B54" w:rsidRDefault="00C22B54" w:rsidP="00C22B54">
                      <w:pPr>
                        <w:spacing w:after="0" w:line="240" w:lineRule="auto"/>
                        <w:jc w:val="both"/>
                      </w:pPr>
                      <w:r w:rsidRPr="004E6443">
                        <w:t>Un SRR doit obligatoirement être mis en œuvre par les assujettis dès que le niveau théorique de pollution atteint 360 kg/an de substances (calculé en fonction des coefficients pondérateurs</w:t>
                      </w:r>
                      <w:r>
                        <w:t>)</w:t>
                      </w:r>
                    </w:p>
                    <w:p w14:paraId="1A64CB86" w14:textId="77777777" w:rsidR="00C22B54" w:rsidRDefault="00C22B54"/>
                  </w:txbxContent>
                </v:textbox>
              </v:shape>
            </w:pict>
          </mc:Fallback>
        </mc:AlternateContent>
      </w:r>
      <w:r>
        <w:rPr>
          <w:rFonts w:ascii="Arial" w:hAnsi="Arial" w:cs="Arial"/>
          <w:noProof/>
          <w:sz w:val="20"/>
          <w:szCs w:val="20"/>
          <w:lang w:eastAsia="fr-FR"/>
        </w:rPr>
        <w:drawing>
          <wp:inline distT="0" distB="0" distL="0" distR="0" wp14:anchorId="4368FBF4" wp14:editId="214097C0">
            <wp:extent cx="1571625" cy="1188495"/>
            <wp:effectExtent l="0" t="0" r="0" b="0"/>
            <wp:docPr id="7" name="Image 7" descr="http://www.graie.org/Sipibel/visuels/photos/6preleveur-SRB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graie.org/Sipibel/visuels/photos/6preleveur-SRBld.jpg"/>
                    <pic:cNvPicPr>
                      <a:picLocks noChangeAspect="1" noChangeArrowheads="1"/>
                    </pic:cNvPicPr>
                  </pic:nvPicPr>
                  <pic:blipFill rotWithShape="1">
                    <a:blip r:embed="rId12">
                      <a:extLst>
                        <a:ext uri="{28A0092B-C50C-407E-A947-70E740481C1C}">
                          <a14:useLocalDpi xmlns:a14="http://schemas.microsoft.com/office/drawing/2010/main" val="0"/>
                        </a:ext>
                      </a:extLst>
                    </a:blip>
                    <a:srcRect l="54247"/>
                    <a:stretch/>
                  </pic:blipFill>
                  <pic:spPr bwMode="auto">
                    <a:xfrm>
                      <a:off x="0" y="0"/>
                      <a:ext cx="1593687" cy="1205179"/>
                    </a:xfrm>
                    <a:prstGeom prst="rect">
                      <a:avLst/>
                    </a:prstGeom>
                    <a:noFill/>
                    <a:ln>
                      <a:noFill/>
                    </a:ln>
                    <a:extLst>
                      <a:ext uri="{53640926-AAD7-44D8-BBD7-CCE9431645EC}">
                        <a14:shadowObscured xmlns:a14="http://schemas.microsoft.com/office/drawing/2010/main"/>
                      </a:ext>
                    </a:extLst>
                  </pic:spPr>
                </pic:pic>
              </a:graphicData>
            </a:graphic>
          </wp:inline>
        </w:drawing>
      </w:r>
    </w:p>
    <w:p w14:paraId="70ED22F2" w14:textId="77777777" w:rsidR="00C6597C" w:rsidRPr="00ED3045" w:rsidRDefault="004E6443" w:rsidP="00E179BC">
      <w:pPr>
        <w:pStyle w:val="Paragraphedeliste"/>
        <w:numPr>
          <w:ilvl w:val="0"/>
          <w:numId w:val="10"/>
        </w:numPr>
        <w:spacing w:after="0" w:line="240" w:lineRule="auto"/>
        <w:jc w:val="both"/>
        <w:rPr>
          <w:b/>
        </w:rPr>
      </w:pPr>
      <w:r w:rsidRPr="00ED3045">
        <w:rPr>
          <w:b/>
        </w:rPr>
        <w:t>Q</w:t>
      </w:r>
      <w:r w:rsidR="00896DFA" w:rsidRPr="00ED3045">
        <w:rPr>
          <w:b/>
        </w:rPr>
        <w:t>uand ?</w:t>
      </w:r>
      <w:r w:rsidRPr="00ED3045">
        <w:rPr>
          <w:b/>
        </w:rPr>
        <w:t xml:space="preserve"> </w:t>
      </w:r>
    </w:p>
    <w:p w14:paraId="2071FC82" w14:textId="54628FA8" w:rsidR="00077BCA" w:rsidRPr="004E6443" w:rsidRDefault="00AC3B30" w:rsidP="00C6597C">
      <w:pPr>
        <w:spacing w:after="0" w:line="240" w:lineRule="auto"/>
        <w:jc w:val="both"/>
      </w:pPr>
      <w:r w:rsidRPr="004E6443">
        <w:t>L’arrêté du 20</w:t>
      </w:r>
      <w:r w:rsidR="00E060B9" w:rsidRPr="004E6443">
        <w:t>/03/</w:t>
      </w:r>
      <w:r w:rsidRPr="004E6443">
        <w:t>2015 stipule que “Pour réaliser le suivi régulier des rejets prévu à l'article R. 213-48-6 du code de l'environnement, le redevable adresse à l'</w:t>
      </w:r>
      <w:r w:rsidR="00077BCA" w:rsidRPr="004E6443">
        <w:t>A</w:t>
      </w:r>
      <w:r w:rsidRPr="004E6443">
        <w:t>gence de l'</w:t>
      </w:r>
      <w:r w:rsidR="00077BCA" w:rsidRPr="004E6443">
        <w:t>E</w:t>
      </w:r>
      <w:r w:rsidRPr="004E6443">
        <w:t>au, au plus tard le 31</w:t>
      </w:r>
      <w:r w:rsidR="005837E1" w:rsidRPr="004E6443">
        <w:t>/05/</w:t>
      </w:r>
      <w:r w:rsidR="00077BCA" w:rsidRPr="004E6443">
        <w:t>2015</w:t>
      </w:r>
      <w:r w:rsidRPr="004E6443">
        <w:t xml:space="preserve"> une demande d'agrément d</w:t>
      </w:r>
      <w:r w:rsidR="00077BCA" w:rsidRPr="004E6443">
        <w:t>e son</w:t>
      </w:r>
      <w:r w:rsidRPr="004E6443">
        <w:t xml:space="preserve"> dispositif de </w:t>
      </w:r>
      <w:r w:rsidR="005837E1" w:rsidRPr="004E6443">
        <w:t>SRR</w:t>
      </w:r>
      <w:r w:rsidR="00077BCA" w:rsidRPr="004E6443">
        <w:t>,</w:t>
      </w:r>
      <w:r w:rsidRPr="004E6443">
        <w:t xml:space="preserve"> accompagnée du descriptif prévu à l'annexe III </w:t>
      </w:r>
      <w:r w:rsidR="00E060B9" w:rsidRPr="004E6443">
        <w:t xml:space="preserve">”. </w:t>
      </w:r>
      <w:r w:rsidR="005837E1" w:rsidRPr="004E6443">
        <w:t>Par conséquent, p</w:t>
      </w:r>
      <w:r w:rsidR="00077BCA" w:rsidRPr="004E6443">
        <w:t>our toute demande d’agrément émise avant le 31</w:t>
      </w:r>
      <w:r w:rsidR="005837E1" w:rsidRPr="004E6443">
        <w:t>/05/</w:t>
      </w:r>
      <w:r w:rsidR="00077BCA" w:rsidRPr="004E6443">
        <w:t>2015, sera prise en compte la pollution émise à compte</w:t>
      </w:r>
      <w:r w:rsidR="005837E1" w:rsidRPr="004E6443">
        <w:t>r</w:t>
      </w:r>
      <w:r w:rsidR="00077BCA" w:rsidRPr="004E6443">
        <w:t xml:space="preserve"> du 1</w:t>
      </w:r>
      <w:r w:rsidR="00077BCA" w:rsidRPr="00C6597C">
        <w:rPr>
          <w:vertAlign w:val="superscript"/>
        </w:rPr>
        <w:t>er</w:t>
      </w:r>
      <w:r w:rsidR="00077BCA" w:rsidRPr="004E6443">
        <w:t xml:space="preserve"> janvier 2016, en fonction des résultats des mesures réalisées par l’industriel.</w:t>
      </w:r>
    </w:p>
    <w:p w14:paraId="23674DA0" w14:textId="2339CE65" w:rsidR="00AC3B30" w:rsidRDefault="00E060B9" w:rsidP="00896DFA">
      <w:pPr>
        <w:spacing w:after="0" w:line="240" w:lineRule="auto"/>
        <w:jc w:val="both"/>
      </w:pPr>
      <w:r w:rsidRPr="004E6443">
        <w:t>I</w:t>
      </w:r>
      <w:r w:rsidR="00AC3B30" w:rsidRPr="004E6443">
        <w:t xml:space="preserve">l est également </w:t>
      </w:r>
      <w:r w:rsidRPr="004E6443">
        <w:t>stipulé</w:t>
      </w:r>
      <w:r w:rsidR="00AC3B30" w:rsidRPr="004E6443">
        <w:t xml:space="preserve"> que “L'absence de réponse de l'agence dans un délai de deux mois vaut agrément du dispositif”.</w:t>
      </w:r>
    </w:p>
    <w:p w14:paraId="45CCAC35" w14:textId="77777777" w:rsidR="004E6443" w:rsidRDefault="004E6443" w:rsidP="00896DFA">
      <w:pPr>
        <w:spacing w:after="0" w:line="240" w:lineRule="auto"/>
        <w:jc w:val="both"/>
      </w:pPr>
    </w:p>
    <w:p w14:paraId="058D7A20" w14:textId="77777777" w:rsidR="00873AE7" w:rsidRPr="00ED3045" w:rsidRDefault="004E6443" w:rsidP="00873AE7">
      <w:pPr>
        <w:pStyle w:val="Paragraphedeliste"/>
        <w:numPr>
          <w:ilvl w:val="0"/>
          <w:numId w:val="10"/>
        </w:numPr>
        <w:spacing w:after="0" w:line="240" w:lineRule="auto"/>
        <w:jc w:val="both"/>
        <w:rPr>
          <w:b/>
        </w:rPr>
      </w:pPr>
      <w:r w:rsidRPr="00ED3045">
        <w:rPr>
          <w:b/>
        </w:rPr>
        <w:t>Comment ?</w:t>
      </w:r>
    </w:p>
    <w:p w14:paraId="4ABC7CBE" w14:textId="77777777" w:rsidR="00873AE7" w:rsidRDefault="00873AE7" w:rsidP="00873AE7">
      <w:pPr>
        <w:spacing w:after="0" w:line="240" w:lineRule="auto"/>
        <w:jc w:val="both"/>
      </w:pPr>
      <w:r>
        <w:t xml:space="preserve">A partir du 1/01/2016, sur les 16 molécules visées, l’industriel devra effectuer </w:t>
      </w:r>
      <w:r w:rsidR="004E6443">
        <w:t>4 campagnes d’analyses par trimestre.</w:t>
      </w:r>
      <w:r>
        <w:t xml:space="preserve"> Les r</w:t>
      </w:r>
      <w:r w:rsidR="004E6443">
        <w:t>ésultat</w:t>
      </w:r>
      <w:r>
        <w:t xml:space="preserve">s devront être </w:t>
      </w:r>
      <w:r w:rsidR="004E6443">
        <w:t>transmis aux A</w:t>
      </w:r>
      <w:r>
        <w:t>gences</w:t>
      </w:r>
      <w:r w:rsidR="004E6443">
        <w:t>, et servir</w:t>
      </w:r>
      <w:r>
        <w:t>ont</w:t>
      </w:r>
      <w:r w:rsidR="004E6443">
        <w:t xml:space="preserve"> à calculer l’assiette de redevances. </w:t>
      </w:r>
    </w:p>
    <w:p w14:paraId="4F1586A6" w14:textId="1352873D" w:rsidR="004E6443" w:rsidRDefault="00873AE7" w:rsidP="00873AE7">
      <w:pPr>
        <w:spacing w:after="0" w:line="240" w:lineRule="auto"/>
        <w:jc w:val="both"/>
      </w:pPr>
      <w:r>
        <w:t>Parallèlement, les Agences c</w:t>
      </w:r>
      <w:r w:rsidR="004E6443">
        <w:t>roise</w:t>
      </w:r>
      <w:r>
        <w:t>ront</w:t>
      </w:r>
      <w:r w:rsidR="004E6443">
        <w:t xml:space="preserve"> les éléments</w:t>
      </w:r>
      <w:r>
        <w:t xml:space="preserve"> reçus, notamment avec les données</w:t>
      </w:r>
      <w:r w:rsidR="004E6443">
        <w:t xml:space="preserve"> de l’arrêté préfectoral d’exploitation, et détermine</w:t>
      </w:r>
      <w:r>
        <w:t>ront</w:t>
      </w:r>
      <w:r w:rsidR="004E6443">
        <w:t xml:space="preserve"> quelles  substances devront continuer à </w:t>
      </w:r>
      <w:r>
        <w:t>être soumises à SRR.</w:t>
      </w:r>
    </w:p>
    <w:p w14:paraId="7E5D2CE6" w14:textId="477C6B7D" w:rsidR="00C22B54" w:rsidRPr="000A1F5F" w:rsidRDefault="00C22B54" w:rsidP="00873AE7">
      <w:pPr>
        <w:spacing w:after="0" w:line="240" w:lineRule="auto"/>
        <w:jc w:val="both"/>
      </w:pPr>
    </w:p>
    <w:p w14:paraId="0A488007" w14:textId="017E8E95" w:rsidR="0040227A" w:rsidRDefault="0040227A" w:rsidP="0040227A">
      <w:pPr>
        <w:spacing w:before="100" w:beforeAutospacing="1" w:after="240" w:line="240" w:lineRule="auto"/>
        <w:jc w:val="both"/>
        <w:rPr>
          <w:rFonts w:ascii="Arial" w:hAnsi="Arial" w:cs="Arial"/>
          <w:noProof/>
          <w:sz w:val="20"/>
          <w:szCs w:val="20"/>
          <w:lang w:eastAsia="fr-FR"/>
        </w:rPr>
      </w:pPr>
      <w:r w:rsidRPr="00520F0D">
        <w:rPr>
          <w:b/>
          <w:color w:val="FF0000"/>
          <w:sz w:val="36"/>
          <w:szCs w:val="36"/>
          <w:highlight w:val="yellow"/>
        </w:rPr>
        <w:t>Campagnes de recherche de substances dangereuse dans l’eau (RSDE)</w:t>
      </w:r>
      <w:bookmarkStart w:id="0" w:name="_GoBack"/>
      <w:bookmarkEnd w:id="0"/>
      <w:r w:rsidRPr="00C22B54">
        <w:rPr>
          <w:rFonts w:ascii="Arial" w:hAnsi="Arial" w:cs="Arial"/>
          <w:noProof/>
          <w:sz w:val="20"/>
          <w:szCs w:val="20"/>
          <w:lang w:eastAsia="fr-FR"/>
        </w:rPr>
        <w:t xml:space="preserve"> </w:t>
      </w:r>
    </w:p>
    <w:p w14:paraId="1B094E82" w14:textId="4339A3AC" w:rsidR="004E6443" w:rsidRDefault="00520F0D" w:rsidP="00896DFA">
      <w:pPr>
        <w:spacing w:after="0" w:line="240" w:lineRule="auto"/>
        <w:jc w:val="both"/>
        <w:rPr>
          <w:rFonts w:ascii="Arial" w:hAnsi="Arial" w:cs="Arial"/>
          <w:b/>
          <w:bCs/>
        </w:rPr>
      </w:pPr>
      <w:r>
        <w:rPr>
          <w:rFonts w:ascii="Arial" w:hAnsi="Arial" w:cs="Arial"/>
          <w:b/>
          <w:bCs/>
        </w:rPr>
        <w:t>Par une note technique adressée aux préfets et mise en ligne le 9 février, le Ministère de l'Ecologie apporte un certain nombre d'assouplissements au dispositif de surveillance des micropolluants dans les eaux rejetées au milieu naturel par les stations de traitement des eaux usées (STEU) inscrit dans le cadre de la démarche de la directive-cadre sur l'eau (DCE) de 2000. </w:t>
      </w:r>
    </w:p>
    <w:p w14:paraId="1548CCFC" w14:textId="2623F07D" w:rsidR="00520F0D" w:rsidRDefault="00520F0D" w:rsidP="00896DFA">
      <w:pPr>
        <w:spacing w:after="0" w:line="240" w:lineRule="auto"/>
        <w:jc w:val="both"/>
        <w:rPr>
          <w:rFonts w:ascii="Arial" w:hAnsi="Arial" w:cs="Arial"/>
        </w:rPr>
      </w:pPr>
      <w:r>
        <w:rPr>
          <w:rFonts w:ascii="Arial" w:hAnsi="Arial" w:cs="Arial"/>
        </w:rPr>
        <w:t xml:space="preserve">Pour rappel, l'action recherche de substances dangereuses dans les eaux (RSDE) est déclinée pour les stations d'épuration urbaines de plus de 10.000 équivalents habitants (EH), tout d'abord soumises à une surveillance initiale - les campagnes ont en principe eu lieu en </w:t>
      </w:r>
      <w:r>
        <w:rPr>
          <w:rFonts w:ascii="Arial" w:hAnsi="Arial" w:cs="Arial"/>
        </w:rPr>
        <w:lastRenderedPageBreak/>
        <w:t>2012 -, puis en fonction des résultats à une surveillance régulière limitée à une liste plus réduite de micropolluants. Les résultats de la surveillance pour la campagne initiale sont en cours d'exploitation par l'Institut national de l'environnement industriel et des risques (Ineris) qui doit remettre son rapport pour la fin du premier trimestre 2015. Mais force est de constater que ce chantier a pris du retard. En cause, l'insuffisance de la quantité et de la qualité des données transmises à la direction de l'eau et de la biodiversité qui compromet les opérations de traitement et d'analyse des résultats.</w:t>
      </w:r>
    </w:p>
    <w:p w14:paraId="4BCDBA3C" w14:textId="713F3B0A" w:rsidR="00520F0D" w:rsidRDefault="00520F0D" w:rsidP="00896DFA">
      <w:pPr>
        <w:spacing w:after="0" w:line="240" w:lineRule="auto"/>
        <w:jc w:val="both"/>
      </w:pPr>
      <w:r>
        <w:rPr>
          <w:rFonts w:ascii="Arial" w:hAnsi="Arial" w:cs="Arial"/>
        </w:rPr>
        <w:t>"Compte tenu de l'impact financier de ces mesures sur le budget des collectivités", le Ministère a par conséquent jugé opportun "de limiter la surveillance en 2015 pour les stations de traitement des eaux usées de plus petite taille". Les STEU de capacité nominale comprise entre 10.000 et 100.000 (EH) seront donc dispensées de l'obligation de mener une campagne initiale de mesures sur la liste complète des substances en 2015. Certaines circonstances locales pourront toutefois justifier le maintien de cette campagne. L'obligation de réaliser une mesure sur la liste complète de substances perdure en revanche, pour les stations de capacité nominale de plus de 100.000 équivalents habitants en 2015 "pour celles qui ne l'auraient pas déjà réalisée en 2014",</w:t>
      </w:r>
    </w:p>
    <w:p w14:paraId="3FFAE14A" w14:textId="77777777" w:rsidR="00810A9D" w:rsidRDefault="00810A9D" w:rsidP="00896DFA">
      <w:pPr>
        <w:spacing w:after="0" w:line="240" w:lineRule="auto"/>
        <w:jc w:val="both"/>
      </w:pPr>
    </w:p>
    <w:p w14:paraId="6BC2D533" w14:textId="77777777" w:rsidR="00CF373F" w:rsidRDefault="00CF373F" w:rsidP="00CF373F"/>
    <w:p w14:paraId="2C79F9F8" w14:textId="77777777" w:rsidR="008770F6" w:rsidRDefault="008770F6" w:rsidP="008770F6">
      <w:pPr>
        <w:jc w:val="both"/>
      </w:pPr>
    </w:p>
    <w:sectPr w:rsidR="008770F6">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8C989E" w14:textId="77777777" w:rsidR="001A610F" w:rsidRDefault="001A610F" w:rsidP="007C0F8E">
      <w:pPr>
        <w:spacing w:after="0" w:line="240" w:lineRule="auto"/>
      </w:pPr>
      <w:r>
        <w:separator/>
      </w:r>
    </w:p>
  </w:endnote>
  <w:endnote w:type="continuationSeparator" w:id="0">
    <w:p w14:paraId="34EF9C24" w14:textId="77777777" w:rsidR="001A610F" w:rsidRDefault="001A610F" w:rsidP="007C0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7052493"/>
      <w:docPartObj>
        <w:docPartGallery w:val="Page Numbers (Bottom of Page)"/>
        <w:docPartUnique/>
      </w:docPartObj>
    </w:sdtPr>
    <w:sdtEndPr/>
    <w:sdtContent>
      <w:sdt>
        <w:sdtPr>
          <w:id w:val="-1769616900"/>
          <w:docPartObj>
            <w:docPartGallery w:val="Page Numbers (Top of Page)"/>
            <w:docPartUnique/>
          </w:docPartObj>
        </w:sdtPr>
        <w:sdtEndPr/>
        <w:sdtContent>
          <w:p w14:paraId="0B0CC5E2" w14:textId="77777777" w:rsidR="008A37BA" w:rsidRDefault="008A37BA">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520F0D">
              <w:rPr>
                <w:b/>
                <w:bCs/>
                <w:noProof/>
              </w:rPr>
              <w:t>3</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520F0D">
              <w:rPr>
                <w:b/>
                <w:bCs/>
                <w:noProof/>
              </w:rPr>
              <w:t>4</w:t>
            </w:r>
            <w:r>
              <w:rPr>
                <w:b/>
                <w:bCs/>
                <w:sz w:val="24"/>
                <w:szCs w:val="24"/>
              </w:rPr>
              <w:fldChar w:fldCharType="end"/>
            </w:r>
          </w:p>
        </w:sdtContent>
      </w:sdt>
    </w:sdtContent>
  </w:sdt>
  <w:p w14:paraId="04103371" w14:textId="77777777" w:rsidR="008A37BA" w:rsidRDefault="008A37B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CFCE24" w14:textId="77777777" w:rsidR="001A610F" w:rsidRDefault="001A610F" w:rsidP="007C0F8E">
      <w:pPr>
        <w:spacing w:after="0" w:line="240" w:lineRule="auto"/>
      </w:pPr>
      <w:r>
        <w:separator/>
      </w:r>
    </w:p>
  </w:footnote>
  <w:footnote w:type="continuationSeparator" w:id="0">
    <w:p w14:paraId="700F8F5E" w14:textId="77777777" w:rsidR="001A610F" w:rsidRDefault="001A610F" w:rsidP="007C0F8E">
      <w:pPr>
        <w:spacing w:after="0" w:line="240" w:lineRule="auto"/>
      </w:pPr>
      <w:r>
        <w:continuationSeparator/>
      </w:r>
    </w:p>
  </w:footnote>
  <w:footnote w:id="1">
    <w:p w14:paraId="5F7FAB68" w14:textId="54211930" w:rsidR="00F12758" w:rsidRDefault="00F12758">
      <w:pPr>
        <w:pStyle w:val="Notedebasdepage"/>
      </w:pPr>
      <w:r w:rsidRPr="00F12758">
        <w:footnoteRef/>
      </w:r>
      <w:r>
        <w:t xml:space="preserve"> </w:t>
      </w:r>
      <w:r w:rsidRPr="00F12758">
        <w:t>loi sur l’eau et les milieux aquatiques</w:t>
      </w:r>
      <w:r>
        <w:t xml:space="preserve"> du </w:t>
      </w:r>
      <w:hyperlink r:id="rId1" w:tooltip="30 décembre" w:history="1">
        <w:r w:rsidRPr="00F12758">
          <w:t>30</w:t>
        </w:r>
      </w:hyperlink>
      <w:r>
        <w:t xml:space="preserve"> </w:t>
      </w:r>
      <w:hyperlink r:id="rId2" w:tooltip="Décembre 2006" w:history="1">
        <w:r w:rsidRPr="00F12758">
          <w:t>décembre</w:t>
        </w:r>
      </w:hyperlink>
      <w:r>
        <w:t xml:space="preserve"> </w:t>
      </w:r>
      <w:hyperlink r:id="rId3" w:tooltip="2006" w:history="1">
        <w:r w:rsidRPr="00F12758">
          <w:t>2006</w:t>
        </w:r>
      </w:hyperlink>
      <w:r w:rsidR="00392811">
        <w:t xml:space="preserve">, transposant en droit français la </w:t>
      </w:r>
      <w:hyperlink r:id="rId4" w:tooltip="Directive cadre européenne sur l’eau" w:history="1">
        <w:r w:rsidR="00392811" w:rsidRPr="00392811">
          <w:t>directive cadre européenne sur l’eau</w:t>
        </w:r>
      </w:hyperlink>
      <w:r w:rsidR="00392811">
        <w:t xml:space="preserve"> d’</w:t>
      </w:r>
      <w:hyperlink r:id="rId5" w:tooltip="Octobre 2000" w:history="1">
        <w:r w:rsidR="00392811" w:rsidRPr="00392811">
          <w:t>octobre</w:t>
        </w:r>
      </w:hyperlink>
      <w:r w:rsidR="00392811">
        <w:t xml:space="preserve"> </w:t>
      </w:r>
      <w:hyperlink r:id="rId6" w:tooltip="2000" w:history="1">
        <w:r w:rsidR="00392811" w:rsidRPr="00392811">
          <w:t>2000</w:t>
        </w:r>
      </w:hyperlink>
    </w:p>
  </w:footnote>
  <w:footnote w:id="2">
    <w:p w14:paraId="412F72B4" w14:textId="0556A467" w:rsidR="00831EEF" w:rsidRDefault="00831EEF">
      <w:pPr>
        <w:pStyle w:val="Notedebasdepage"/>
      </w:pPr>
      <w:r>
        <w:rPr>
          <w:rStyle w:val="Appelnotedebasdep"/>
        </w:rPr>
        <w:footnoteRef/>
      </w:r>
      <w:r>
        <w:t xml:space="preserve"> </w:t>
      </w:r>
      <w:r w:rsidRPr="006A32A7">
        <w:t>décret 2014-1578 du 23 décembre 2014 relatif à la prise en compte d</w:t>
      </w:r>
      <w:r>
        <w:t>u paramètre</w:t>
      </w:r>
      <w:r w:rsidRPr="006A32A7">
        <w:t xml:space="preserve"> SDE dans le calcul de l’assiette de la redevance pour pollution de l’eau d’origine non domestique</w:t>
      </w:r>
    </w:p>
  </w:footnote>
  <w:footnote w:id="3">
    <w:p w14:paraId="7270097F" w14:textId="7298EFCB" w:rsidR="0094452E" w:rsidRDefault="0094452E">
      <w:pPr>
        <w:pStyle w:val="Notedebasdepage"/>
      </w:pPr>
      <w:r>
        <w:rPr>
          <w:rStyle w:val="Appelnotedebasdep"/>
        </w:rPr>
        <w:footnoteRef/>
      </w:r>
      <w:r>
        <w:t xml:space="preserve"> </w:t>
      </w:r>
      <w:r w:rsidRPr="00271324">
        <w:t>Selon l'</w:t>
      </w:r>
      <w:hyperlink r:id="rId7" w:tgtFrame="_blank" w:history="1">
        <w:r w:rsidRPr="00271324">
          <w:t>article L. 123-10-2 du code de l'environnement</w:t>
        </w:r>
      </w:hyperlink>
      <w:r w:rsidRPr="00271324">
        <w:t xml:space="preserve">, en application duquel est pris ce </w:t>
      </w:r>
      <w:r w:rsidRPr="00E060B9">
        <w:t>décret 2014-</w:t>
      </w:r>
      <w:r w:rsidRPr="000C66F4">
        <w:t>1578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FFD8FB" w14:textId="0F2F75C5" w:rsidR="008E358A" w:rsidRDefault="00F46CC9">
    <w:pPr>
      <w:pStyle w:val="En-tte"/>
    </w:pPr>
    <w:r>
      <w:t>Les synthèses de la FENARIVE – juillet 2015</w:t>
    </w:r>
    <w:r>
      <w:tab/>
    </w:r>
    <w:r>
      <w:tab/>
    </w:r>
    <w:r w:rsidRPr="00DE0A74">
      <w:rPr>
        <w:rFonts w:ascii="Arial" w:hAnsi="Arial" w:cs="Arial"/>
        <w:noProof/>
        <w:lang w:eastAsia="fr-FR"/>
      </w:rPr>
      <w:drawing>
        <wp:inline distT="0" distB="0" distL="0" distR="0" wp14:anchorId="460B2825" wp14:editId="350FE0EB">
          <wp:extent cx="1295400" cy="665526"/>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t="29045" b="36101"/>
                  <a:stretch>
                    <a:fillRect/>
                  </a:stretch>
                </pic:blipFill>
                <pic:spPr bwMode="auto">
                  <a:xfrm>
                    <a:off x="0" y="0"/>
                    <a:ext cx="1307585" cy="67178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82961"/>
    <w:multiLevelType w:val="hybridMultilevel"/>
    <w:tmpl w:val="3716BC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FE4D3B"/>
    <w:multiLevelType w:val="hybridMultilevel"/>
    <w:tmpl w:val="158017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A83657"/>
    <w:multiLevelType w:val="hybridMultilevel"/>
    <w:tmpl w:val="BD5631D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1E331EB"/>
    <w:multiLevelType w:val="hybridMultilevel"/>
    <w:tmpl w:val="D1D0A010"/>
    <w:lvl w:ilvl="0" w:tplc="807211EC">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35073B2"/>
    <w:multiLevelType w:val="hybridMultilevel"/>
    <w:tmpl w:val="C582BFA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7B15C7A"/>
    <w:multiLevelType w:val="hybridMultilevel"/>
    <w:tmpl w:val="66CE476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94049BC"/>
    <w:multiLevelType w:val="hybridMultilevel"/>
    <w:tmpl w:val="AA4222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ED310D8"/>
    <w:multiLevelType w:val="hybridMultilevel"/>
    <w:tmpl w:val="48C8932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E751E64"/>
    <w:multiLevelType w:val="hybridMultilevel"/>
    <w:tmpl w:val="31B0B8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DD51078"/>
    <w:multiLevelType w:val="multilevel"/>
    <w:tmpl w:val="E3DE5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9"/>
  </w:num>
  <w:num w:numId="4">
    <w:abstractNumId w:val="8"/>
  </w:num>
  <w:num w:numId="5">
    <w:abstractNumId w:val="6"/>
  </w:num>
  <w:num w:numId="6">
    <w:abstractNumId w:val="0"/>
  </w:num>
  <w:num w:numId="7">
    <w:abstractNumId w:val="2"/>
  </w:num>
  <w:num w:numId="8">
    <w:abstractNumId w:val="3"/>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0F6"/>
    <w:rsid w:val="00021B8A"/>
    <w:rsid w:val="00025A06"/>
    <w:rsid w:val="00054CA6"/>
    <w:rsid w:val="00077BCA"/>
    <w:rsid w:val="000A1F5F"/>
    <w:rsid w:val="000C66F4"/>
    <w:rsid w:val="00165BC2"/>
    <w:rsid w:val="00180147"/>
    <w:rsid w:val="001A0001"/>
    <w:rsid w:val="001A610F"/>
    <w:rsid w:val="001D4A53"/>
    <w:rsid w:val="002205D2"/>
    <w:rsid w:val="00240412"/>
    <w:rsid w:val="00271324"/>
    <w:rsid w:val="00297C79"/>
    <w:rsid w:val="002B2103"/>
    <w:rsid w:val="002D4649"/>
    <w:rsid w:val="00373626"/>
    <w:rsid w:val="00376697"/>
    <w:rsid w:val="00392811"/>
    <w:rsid w:val="00395A5F"/>
    <w:rsid w:val="0039724B"/>
    <w:rsid w:val="003B5DE1"/>
    <w:rsid w:val="0040227A"/>
    <w:rsid w:val="0049322A"/>
    <w:rsid w:val="004D01A7"/>
    <w:rsid w:val="004E6443"/>
    <w:rsid w:val="00520F0D"/>
    <w:rsid w:val="00532958"/>
    <w:rsid w:val="005837E1"/>
    <w:rsid w:val="005B2862"/>
    <w:rsid w:val="005D01EB"/>
    <w:rsid w:val="00636229"/>
    <w:rsid w:val="006A32A7"/>
    <w:rsid w:val="006C1D69"/>
    <w:rsid w:val="007C0F8E"/>
    <w:rsid w:val="007C6F87"/>
    <w:rsid w:val="007F00A5"/>
    <w:rsid w:val="007F266E"/>
    <w:rsid w:val="0080609E"/>
    <w:rsid w:val="008103C5"/>
    <w:rsid w:val="00810A9D"/>
    <w:rsid w:val="00831EEF"/>
    <w:rsid w:val="008573B1"/>
    <w:rsid w:val="00873AE7"/>
    <w:rsid w:val="008770F6"/>
    <w:rsid w:val="00896DFA"/>
    <w:rsid w:val="008A37BA"/>
    <w:rsid w:val="008B4AED"/>
    <w:rsid w:val="008C7BC0"/>
    <w:rsid w:val="008E358A"/>
    <w:rsid w:val="0094452E"/>
    <w:rsid w:val="009A0AF3"/>
    <w:rsid w:val="009C3E78"/>
    <w:rsid w:val="00A27A48"/>
    <w:rsid w:val="00A51DCB"/>
    <w:rsid w:val="00A77C94"/>
    <w:rsid w:val="00A96B99"/>
    <w:rsid w:val="00AC3B30"/>
    <w:rsid w:val="00AE096F"/>
    <w:rsid w:val="00B25F34"/>
    <w:rsid w:val="00BA164A"/>
    <w:rsid w:val="00BA5A02"/>
    <w:rsid w:val="00BC4767"/>
    <w:rsid w:val="00BE342F"/>
    <w:rsid w:val="00BF2012"/>
    <w:rsid w:val="00C02A34"/>
    <w:rsid w:val="00C22B54"/>
    <w:rsid w:val="00C605A0"/>
    <w:rsid w:val="00C6597C"/>
    <w:rsid w:val="00CB24E0"/>
    <w:rsid w:val="00CB4CEA"/>
    <w:rsid w:val="00CF373F"/>
    <w:rsid w:val="00D373E8"/>
    <w:rsid w:val="00D9259A"/>
    <w:rsid w:val="00D94F14"/>
    <w:rsid w:val="00DA0F89"/>
    <w:rsid w:val="00DA7DD5"/>
    <w:rsid w:val="00DB3E0F"/>
    <w:rsid w:val="00DE10EE"/>
    <w:rsid w:val="00DE4C57"/>
    <w:rsid w:val="00E060B9"/>
    <w:rsid w:val="00E217B9"/>
    <w:rsid w:val="00E84229"/>
    <w:rsid w:val="00E93A20"/>
    <w:rsid w:val="00E9740A"/>
    <w:rsid w:val="00EB133C"/>
    <w:rsid w:val="00ED3045"/>
    <w:rsid w:val="00F12758"/>
    <w:rsid w:val="00F2279C"/>
    <w:rsid w:val="00F46CC9"/>
    <w:rsid w:val="00F63128"/>
    <w:rsid w:val="00F7145F"/>
    <w:rsid w:val="00FC23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B41C7"/>
  <w15:docId w15:val="{269BB9EE-04E5-449A-A338-D0CBA5378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8770F6"/>
    <w:rPr>
      <w:color w:val="0000FF"/>
      <w:u w:val="single"/>
    </w:rPr>
  </w:style>
  <w:style w:type="paragraph" w:styleId="Paragraphedeliste">
    <w:name w:val="List Paragraph"/>
    <w:basedOn w:val="Normal"/>
    <w:uiPriority w:val="34"/>
    <w:qFormat/>
    <w:rsid w:val="00D373E8"/>
    <w:pPr>
      <w:ind w:left="720"/>
      <w:contextualSpacing/>
    </w:pPr>
  </w:style>
  <w:style w:type="paragraph" w:styleId="Notedebasdepage">
    <w:name w:val="footnote text"/>
    <w:basedOn w:val="Normal"/>
    <w:link w:val="NotedebasdepageCar"/>
    <w:uiPriority w:val="99"/>
    <w:semiHidden/>
    <w:unhideWhenUsed/>
    <w:rsid w:val="007C0F8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C0F8E"/>
    <w:rPr>
      <w:sz w:val="20"/>
      <w:szCs w:val="20"/>
    </w:rPr>
  </w:style>
  <w:style w:type="character" w:styleId="Appelnotedebasdep">
    <w:name w:val="footnote reference"/>
    <w:basedOn w:val="Policepardfaut"/>
    <w:uiPriority w:val="99"/>
    <w:semiHidden/>
    <w:unhideWhenUsed/>
    <w:rsid w:val="007C0F8E"/>
    <w:rPr>
      <w:vertAlign w:val="superscript"/>
    </w:rPr>
  </w:style>
  <w:style w:type="paragraph" w:styleId="En-tte">
    <w:name w:val="header"/>
    <w:basedOn w:val="Normal"/>
    <w:link w:val="En-tteCar"/>
    <w:uiPriority w:val="99"/>
    <w:unhideWhenUsed/>
    <w:rsid w:val="008E358A"/>
    <w:pPr>
      <w:tabs>
        <w:tab w:val="center" w:pos="4536"/>
        <w:tab w:val="right" w:pos="9072"/>
      </w:tabs>
      <w:spacing w:after="0" w:line="240" w:lineRule="auto"/>
    </w:pPr>
  </w:style>
  <w:style w:type="character" w:customStyle="1" w:styleId="En-tteCar">
    <w:name w:val="En-tête Car"/>
    <w:basedOn w:val="Policepardfaut"/>
    <w:link w:val="En-tte"/>
    <w:uiPriority w:val="99"/>
    <w:rsid w:val="008E358A"/>
  </w:style>
  <w:style w:type="paragraph" w:styleId="Pieddepage">
    <w:name w:val="footer"/>
    <w:basedOn w:val="Normal"/>
    <w:link w:val="PieddepageCar"/>
    <w:uiPriority w:val="99"/>
    <w:unhideWhenUsed/>
    <w:rsid w:val="008E358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E358A"/>
  </w:style>
  <w:style w:type="paragraph" w:styleId="Textedebulles">
    <w:name w:val="Balloon Text"/>
    <w:basedOn w:val="Normal"/>
    <w:link w:val="TextedebullesCar"/>
    <w:uiPriority w:val="99"/>
    <w:semiHidden/>
    <w:unhideWhenUsed/>
    <w:rsid w:val="006C1D6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C1D69"/>
    <w:rPr>
      <w:rFonts w:ascii="Tahoma" w:hAnsi="Tahoma" w:cs="Tahoma"/>
      <w:sz w:val="16"/>
      <w:szCs w:val="16"/>
    </w:rPr>
  </w:style>
  <w:style w:type="character" w:styleId="Marquedecommentaire">
    <w:name w:val="annotation reference"/>
    <w:basedOn w:val="Policepardfaut"/>
    <w:uiPriority w:val="99"/>
    <w:semiHidden/>
    <w:unhideWhenUsed/>
    <w:rsid w:val="006C1D69"/>
    <w:rPr>
      <w:sz w:val="16"/>
      <w:szCs w:val="16"/>
    </w:rPr>
  </w:style>
  <w:style w:type="paragraph" w:styleId="Commentaire">
    <w:name w:val="annotation text"/>
    <w:basedOn w:val="Normal"/>
    <w:link w:val="CommentaireCar"/>
    <w:uiPriority w:val="99"/>
    <w:semiHidden/>
    <w:unhideWhenUsed/>
    <w:rsid w:val="006C1D69"/>
    <w:pPr>
      <w:spacing w:line="240" w:lineRule="auto"/>
    </w:pPr>
    <w:rPr>
      <w:sz w:val="20"/>
      <w:szCs w:val="20"/>
    </w:rPr>
  </w:style>
  <w:style w:type="character" w:customStyle="1" w:styleId="CommentaireCar">
    <w:name w:val="Commentaire Car"/>
    <w:basedOn w:val="Policepardfaut"/>
    <w:link w:val="Commentaire"/>
    <w:uiPriority w:val="99"/>
    <w:semiHidden/>
    <w:rsid w:val="006C1D69"/>
    <w:rPr>
      <w:sz w:val="20"/>
      <w:szCs w:val="20"/>
    </w:rPr>
  </w:style>
  <w:style w:type="paragraph" w:styleId="Objetducommentaire">
    <w:name w:val="annotation subject"/>
    <w:basedOn w:val="Commentaire"/>
    <w:next w:val="Commentaire"/>
    <w:link w:val="ObjetducommentaireCar"/>
    <w:uiPriority w:val="99"/>
    <w:semiHidden/>
    <w:unhideWhenUsed/>
    <w:rsid w:val="006C1D69"/>
    <w:rPr>
      <w:b/>
      <w:bCs/>
    </w:rPr>
  </w:style>
  <w:style w:type="character" w:customStyle="1" w:styleId="ObjetducommentaireCar">
    <w:name w:val="Objet du commentaire Car"/>
    <w:basedOn w:val="CommentaireCar"/>
    <w:link w:val="Objetducommentaire"/>
    <w:uiPriority w:val="99"/>
    <w:semiHidden/>
    <w:rsid w:val="006C1D69"/>
    <w:rPr>
      <w:b/>
      <w:bCs/>
      <w:sz w:val="20"/>
      <w:szCs w:val="20"/>
    </w:rPr>
  </w:style>
  <w:style w:type="table" w:styleId="Grilledutableau">
    <w:name w:val="Table Grid"/>
    <w:basedOn w:val="TableauNormal"/>
    <w:uiPriority w:val="39"/>
    <w:rsid w:val="00A27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034359">
      <w:bodyDiv w:val="1"/>
      <w:marLeft w:val="0"/>
      <w:marRight w:val="0"/>
      <w:marTop w:val="0"/>
      <w:marBottom w:val="0"/>
      <w:divBdr>
        <w:top w:val="none" w:sz="0" w:space="0" w:color="auto"/>
        <w:left w:val="none" w:sz="0" w:space="0" w:color="auto"/>
        <w:bottom w:val="none" w:sz="0" w:space="0" w:color="auto"/>
        <w:right w:val="none" w:sz="0" w:space="0" w:color="auto"/>
      </w:divBdr>
    </w:div>
    <w:div w:id="461924831">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56381301">
          <w:marLeft w:val="0"/>
          <w:marRight w:val="0"/>
          <w:marTop w:val="0"/>
          <w:marBottom w:val="0"/>
          <w:divBdr>
            <w:top w:val="none" w:sz="0" w:space="0" w:color="auto"/>
            <w:left w:val="none" w:sz="0" w:space="0" w:color="auto"/>
            <w:bottom w:val="none" w:sz="0" w:space="0" w:color="auto"/>
            <w:right w:val="none" w:sz="0" w:space="0" w:color="auto"/>
          </w:divBdr>
          <w:divsChild>
            <w:div w:id="1033769035">
              <w:marLeft w:val="0"/>
              <w:marRight w:val="0"/>
              <w:marTop w:val="0"/>
              <w:marBottom w:val="0"/>
              <w:divBdr>
                <w:top w:val="none" w:sz="0" w:space="0" w:color="auto"/>
                <w:left w:val="none" w:sz="0" w:space="0" w:color="auto"/>
                <w:bottom w:val="none" w:sz="0" w:space="0" w:color="auto"/>
                <w:right w:val="none" w:sz="0" w:space="0" w:color="auto"/>
              </w:divBdr>
              <w:divsChild>
                <w:div w:id="1727291243">
                  <w:marLeft w:val="0"/>
                  <w:marRight w:val="0"/>
                  <w:marTop w:val="0"/>
                  <w:marBottom w:val="0"/>
                  <w:divBdr>
                    <w:top w:val="none" w:sz="0" w:space="0" w:color="auto"/>
                    <w:left w:val="none" w:sz="0" w:space="0" w:color="auto"/>
                    <w:bottom w:val="none" w:sz="0" w:space="0" w:color="auto"/>
                    <w:right w:val="none" w:sz="0" w:space="0" w:color="auto"/>
                  </w:divBdr>
                  <w:divsChild>
                    <w:div w:id="226839025">
                      <w:marLeft w:val="0"/>
                      <w:marRight w:val="0"/>
                      <w:marTop w:val="0"/>
                      <w:marBottom w:val="0"/>
                      <w:divBdr>
                        <w:top w:val="none" w:sz="0" w:space="0" w:color="auto"/>
                        <w:left w:val="none" w:sz="0" w:space="0" w:color="auto"/>
                        <w:bottom w:val="none" w:sz="0" w:space="0" w:color="auto"/>
                        <w:right w:val="none" w:sz="0" w:space="0" w:color="auto"/>
                      </w:divBdr>
                    </w:div>
                    <w:div w:id="1175193199">
                      <w:marLeft w:val="0"/>
                      <w:marRight w:val="0"/>
                      <w:marTop w:val="0"/>
                      <w:marBottom w:val="0"/>
                      <w:divBdr>
                        <w:top w:val="none" w:sz="0" w:space="0" w:color="auto"/>
                        <w:left w:val="none" w:sz="0" w:space="0" w:color="auto"/>
                        <w:bottom w:val="none" w:sz="0" w:space="0" w:color="auto"/>
                        <w:right w:val="none" w:sz="0" w:space="0" w:color="auto"/>
                      </w:divBdr>
                    </w:div>
                    <w:div w:id="1273977910">
                      <w:marLeft w:val="0"/>
                      <w:marRight w:val="0"/>
                      <w:marTop w:val="0"/>
                      <w:marBottom w:val="0"/>
                      <w:divBdr>
                        <w:top w:val="none" w:sz="0" w:space="0" w:color="auto"/>
                        <w:left w:val="none" w:sz="0" w:space="0" w:color="auto"/>
                        <w:bottom w:val="none" w:sz="0" w:space="0" w:color="auto"/>
                        <w:right w:val="none" w:sz="0" w:space="0" w:color="auto"/>
                      </w:divBdr>
                    </w:div>
                    <w:div w:id="549609142">
                      <w:marLeft w:val="0"/>
                      <w:marRight w:val="0"/>
                      <w:marTop w:val="0"/>
                      <w:marBottom w:val="0"/>
                      <w:divBdr>
                        <w:top w:val="none" w:sz="0" w:space="0" w:color="auto"/>
                        <w:left w:val="none" w:sz="0" w:space="0" w:color="auto"/>
                        <w:bottom w:val="none" w:sz="0" w:space="0" w:color="auto"/>
                        <w:right w:val="none" w:sz="0" w:space="0" w:color="auto"/>
                      </w:divBdr>
                    </w:div>
                    <w:div w:id="317998632">
                      <w:marLeft w:val="0"/>
                      <w:marRight w:val="0"/>
                      <w:marTop w:val="0"/>
                      <w:marBottom w:val="0"/>
                      <w:divBdr>
                        <w:top w:val="none" w:sz="0" w:space="0" w:color="auto"/>
                        <w:left w:val="none" w:sz="0" w:space="0" w:color="auto"/>
                        <w:bottom w:val="none" w:sz="0" w:space="0" w:color="auto"/>
                        <w:right w:val="none" w:sz="0" w:space="0" w:color="auto"/>
                      </w:divBdr>
                    </w:div>
                    <w:div w:id="236063226">
                      <w:marLeft w:val="0"/>
                      <w:marRight w:val="0"/>
                      <w:marTop w:val="0"/>
                      <w:marBottom w:val="0"/>
                      <w:divBdr>
                        <w:top w:val="none" w:sz="0" w:space="0" w:color="auto"/>
                        <w:left w:val="none" w:sz="0" w:space="0" w:color="auto"/>
                        <w:bottom w:val="none" w:sz="0" w:space="0" w:color="auto"/>
                        <w:right w:val="none" w:sz="0" w:space="0" w:color="auto"/>
                      </w:divBdr>
                    </w:div>
                    <w:div w:id="1060130569">
                      <w:marLeft w:val="0"/>
                      <w:marRight w:val="0"/>
                      <w:marTop w:val="0"/>
                      <w:marBottom w:val="0"/>
                      <w:divBdr>
                        <w:top w:val="none" w:sz="0" w:space="0" w:color="auto"/>
                        <w:left w:val="none" w:sz="0" w:space="0" w:color="auto"/>
                        <w:bottom w:val="none" w:sz="0" w:space="0" w:color="auto"/>
                        <w:right w:val="none" w:sz="0" w:space="0" w:color="auto"/>
                      </w:divBdr>
                    </w:div>
                    <w:div w:id="677774859">
                      <w:marLeft w:val="0"/>
                      <w:marRight w:val="0"/>
                      <w:marTop w:val="0"/>
                      <w:marBottom w:val="0"/>
                      <w:divBdr>
                        <w:top w:val="none" w:sz="0" w:space="0" w:color="auto"/>
                        <w:left w:val="none" w:sz="0" w:space="0" w:color="auto"/>
                        <w:bottom w:val="none" w:sz="0" w:space="0" w:color="auto"/>
                        <w:right w:val="none" w:sz="0" w:space="0" w:color="auto"/>
                      </w:divBdr>
                    </w:div>
                    <w:div w:id="182839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1528">
      <w:bodyDiv w:val="1"/>
      <w:marLeft w:val="120"/>
      <w:marRight w:val="120"/>
      <w:marTop w:val="120"/>
      <w:marBottom w:val="120"/>
      <w:divBdr>
        <w:top w:val="none" w:sz="0" w:space="0" w:color="auto"/>
        <w:left w:val="none" w:sz="0" w:space="0" w:color="auto"/>
        <w:bottom w:val="none" w:sz="0" w:space="0" w:color="auto"/>
        <w:right w:val="none" w:sz="0" w:space="0" w:color="auto"/>
      </w:divBdr>
      <w:divsChild>
        <w:div w:id="498548057">
          <w:marLeft w:val="0"/>
          <w:marRight w:val="0"/>
          <w:marTop w:val="0"/>
          <w:marBottom w:val="0"/>
          <w:divBdr>
            <w:top w:val="none" w:sz="0" w:space="0" w:color="auto"/>
            <w:left w:val="none" w:sz="0" w:space="0" w:color="auto"/>
            <w:bottom w:val="none" w:sz="0" w:space="0" w:color="auto"/>
            <w:right w:val="none" w:sz="0" w:space="0" w:color="auto"/>
          </w:divBdr>
          <w:divsChild>
            <w:div w:id="1850101873">
              <w:marLeft w:val="0"/>
              <w:marRight w:val="0"/>
              <w:marTop w:val="0"/>
              <w:marBottom w:val="0"/>
              <w:divBdr>
                <w:top w:val="none" w:sz="0" w:space="0" w:color="auto"/>
                <w:left w:val="none" w:sz="0" w:space="0" w:color="auto"/>
                <w:bottom w:val="none" w:sz="0" w:space="0" w:color="auto"/>
                <w:right w:val="none" w:sz="0" w:space="0" w:color="auto"/>
              </w:divBdr>
              <w:divsChild>
                <w:div w:id="1317296184">
                  <w:marLeft w:val="0"/>
                  <w:marRight w:val="0"/>
                  <w:marTop w:val="0"/>
                  <w:marBottom w:val="0"/>
                  <w:divBdr>
                    <w:top w:val="none" w:sz="0" w:space="0" w:color="auto"/>
                    <w:left w:val="none" w:sz="0" w:space="0" w:color="auto"/>
                    <w:bottom w:val="none" w:sz="0" w:space="0" w:color="auto"/>
                    <w:right w:val="none" w:sz="0" w:space="0" w:color="auto"/>
                  </w:divBdr>
                  <w:divsChild>
                    <w:div w:id="225379537">
                      <w:marLeft w:val="0"/>
                      <w:marRight w:val="0"/>
                      <w:marTop w:val="0"/>
                      <w:marBottom w:val="0"/>
                      <w:divBdr>
                        <w:top w:val="none" w:sz="0" w:space="0" w:color="auto"/>
                        <w:left w:val="none" w:sz="0" w:space="0" w:color="auto"/>
                        <w:bottom w:val="none" w:sz="0" w:space="0" w:color="auto"/>
                        <w:right w:val="none" w:sz="0" w:space="0" w:color="auto"/>
                      </w:divBdr>
                      <w:divsChild>
                        <w:div w:id="64049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0923544">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073507723">
          <w:marLeft w:val="0"/>
          <w:marRight w:val="0"/>
          <w:marTop w:val="0"/>
          <w:marBottom w:val="0"/>
          <w:divBdr>
            <w:top w:val="none" w:sz="0" w:space="0" w:color="auto"/>
            <w:left w:val="none" w:sz="0" w:space="0" w:color="auto"/>
            <w:bottom w:val="none" w:sz="0" w:space="0" w:color="auto"/>
            <w:right w:val="none" w:sz="0" w:space="0" w:color="auto"/>
          </w:divBdr>
          <w:divsChild>
            <w:div w:id="867568172">
              <w:marLeft w:val="0"/>
              <w:marRight w:val="0"/>
              <w:marTop w:val="0"/>
              <w:marBottom w:val="0"/>
              <w:divBdr>
                <w:top w:val="none" w:sz="0" w:space="0" w:color="auto"/>
                <w:left w:val="none" w:sz="0" w:space="0" w:color="auto"/>
                <w:bottom w:val="none" w:sz="0" w:space="0" w:color="auto"/>
                <w:right w:val="none" w:sz="0" w:space="0" w:color="auto"/>
              </w:divBdr>
              <w:divsChild>
                <w:div w:id="1778136918">
                  <w:marLeft w:val="0"/>
                  <w:marRight w:val="0"/>
                  <w:marTop w:val="0"/>
                  <w:marBottom w:val="0"/>
                  <w:divBdr>
                    <w:top w:val="none" w:sz="0" w:space="0" w:color="auto"/>
                    <w:left w:val="none" w:sz="0" w:space="0" w:color="auto"/>
                    <w:bottom w:val="none" w:sz="0" w:space="0" w:color="auto"/>
                    <w:right w:val="none" w:sz="0" w:space="0" w:color="auto"/>
                  </w:divBdr>
                </w:div>
                <w:div w:id="2142264570">
                  <w:marLeft w:val="0"/>
                  <w:marRight w:val="0"/>
                  <w:marTop w:val="0"/>
                  <w:marBottom w:val="0"/>
                  <w:divBdr>
                    <w:top w:val="none" w:sz="0" w:space="0" w:color="auto"/>
                    <w:left w:val="none" w:sz="0" w:space="0" w:color="auto"/>
                    <w:bottom w:val="none" w:sz="0" w:space="0" w:color="auto"/>
                    <w:right w:val="none" w:sz="0" w:space="0" w:color="auto"/>
                  </w:divBdr>
                </w:div>
                <w:div w:id="334040121">
                  <w:marLeft w:val="0"/>
                  <w:marRight w:val="0"/>
                  <w:marTop w:val="0"/>
                  <w:marBottom w:val="0"/>
                  <w:divBdr>
                    <w:top w:val="none" w:sz="0" w:space="0" w:color="auto"/>
                    <w:left w:val="none" w:sz="0" w:space="0" w:color="auto"/>
                    <w:bottom w:val="none" w:sz="0" w:space="0" w:color="auto"/>
                    <w:right w:val="none" w:sz="0" w:space="0" w:color="auto"/>
                  </w:divBdr>
                </w:div>
                <w:div w:id="1616327669">
                  <w:marLeft w:val="0"/>
                  <w:marRight w:val="0"/>
                  <w:marTop w:val="0"/>
                  <w:marBottom w:val="0"/>
                  <w:divBdr>
                    <w:top w:val="none" w:sz="0" w:space="0" w:color="auto"/>
                    <w:left w:val="none" w:sz="0" w:space="0" w:color="auto"/>
                    <w:bottom w:val="none" w:sz="0" w:space="0" w:color="auto"/>
                    <w:right w:val="none" w:sz="0" w:space="0" w:color="auto"/>
                  </w:divBdr>
                </w:div>
                <w:div w:id="34479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960818">
      <w:bodyDiv w:val="1"/>
      <w:marLeft w:val="0"/>
      <w:marRight w:val="0"/>
      <w:marTop w:val="0"/>
      <w:marBottom w:val="0"/>
      <w:divBdr>
        <w:top w:val="none" w:sz="0" w:space="0" w:color="auto"/>
        <w:left w:val="none" w:sz="0" w:space="0" w:color="auto"/>
        <w:bottom w:val="none" w:sz="0" w:space="0" w:color="auto"/>
        <w:right w:val="none" w:sz="0" w:space="0" w:color="auto"/>
      </w:divBdr>
      <w:divsChild>
        <w:div w:id="100608240">
          <w:marLeft w:val="0"/>
          <w:marRight w:val="0"/>
          <w:marTop w:val="0"/>
          <w:marBottom w:val="0"/>
          <w:divBdr>
            <w:top w:val="none" w:sz="0" w:space="0" w:color="auto"/>
            <w:left w:val="none" w:sz="0" w:space="0" w:color="auto"/>
            <w:bottom w:val="none" w:sz="0" w:space="0" w:color="auto"/>
            <w:right w:val="none" w:sz="0" w:space="0" w:color="auto"/>
          </w:divBdr>
          <w:divsChild>
            <w:div w:id="1825006119">
              <w:marLeft w:val="0"/>
              <w:marRight w:val="0"/>
              <w:marTop w:val="0"/>
              <w:marBottom w:val="0"/>
              <w:divBdr>
                <w:top w:val="none" w:sz="0" w:space="0" w:color="auto"/>
                <w:left w:val="none" w:sz="0" w:space="0" w:color="auto"/>
                <w:bottom w:val="none" w:sz="0" w:space="0" w:color="auto"/>
                <w:right w:val="none" w:sz="0" w:space="0" w:color="auto"/>
              </w:divBdr>
              <w:divsChild>
                <w:div w:id="1184439558">
                  <w:marLeft w:val="0"/>
                  <w:marRight w:val="0"/>
                  <w:marTop w:val="0"/>
                  <w:marBottom w:val="0"/>
                  <w:divBdr>
                    <w:top w:val="none" w:sz="0" w:space="0" w:color="auto"/>
                    <w:left w:val="none" w:sz="0" w:space="0" w:color="auto"/>
                    <w:bottom w:val="none" w:sz="0" w:space="0" w:color="auto"/>
                    <w:right w:val="none" w:sz="0" w:space="0" w:color="auto"/>
                  </w:divBdr>
                  <w:divsChild>
                    <w:div w:id="1336617718">
                      <w:marLeft w:val="0"/>
                      <w:marRight w:val="0"/>
                      <w:marTop w:val="0"/>
                      <w:marBottom w:val="0"/>
                      <w:divBdr>
                        <w:top w:val="none" w:sz="0" w:space="0" w:color="auto"/>
                        <w:left w:val="none" w:sz="0" w:space="0" w:color="auto"/>
                        <w:bottom w:val="none" w:sz="0" w:space="0" w:color="auto"/>
                        <w:right w:val="none" w:sz="0" w:space="0" w:color="auto"/>
                      </w:divBdr>
                      <w:divsChild>
                        <w:div w:id="1806435881">
                          <w:marLeft w:val="0"/>
                          <w:marRight w:val="0"/>
                          <w:marTop w:val="0"/>
                          <w:marBottom w:val="0"/>
                          <w:divBdr>
                            <w:top w:val="none" w:sz="0" w:space="0" w:color="auto"/>
                            <w:left w:val="none" w:sz="0" w:space="0" w:color="auto"/>
                            <w:bottom w:val="none" w:sz="0" w:space="0" w:color="auto"/>
                            <w:right w:val="none" w:sz="0" w:space="0" w:color="auto"/>
                          </w:divBdr>
                          <w:divsChild>
                            <w:div w:id="18305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760383">
      <w:bodyDiv w:val="1"/>
      <w:marLeft w:val="120"/>
      <w:marRight w:val="120"/>
      <w:marTop w:val="120"/>
      <w:marBottom w:val="120"/>
      <w:divBdr>
        <w:top w:val="none" w:sz="0" w:space="0" w:color="auto"/>
        <w:left w:val="none" w:sz="0" w:space="0" w:color="auto"/>
        <w:bottom w:val="none" w:sz="0" w:space="0" w:color="auto"/>
        <w:right w:val="none" w:sz="0" w:space="0" w:color="auto"/>
      </w:divBdr>
      <w:divsChild>
        <w:div w:id="976834344">
          <w:marLeft w:val="0"/>
          <w:marRight w:val="0"/>
          <w:marTop w:val="0"/>
          <w:marBottom w:val="0"/>
          <w:divBdr>
            <w:top w:val="none" w:sz="0" w:space="0" w:color="auto"/>
            <w:left w:val="none" w:sz="0" w:space="0" w:color="auto"/>
            <w:bottom w:val="none" w:sz="0" w:space="0" w:color="auto"/>
            <w:right w:val="none" w:sz="0" w:space="0" w:color="auto"/>
          </w:divBdr>
          <w:divsChild>
            <w:div w:id="1635983130">
              <w:marLeft w:val="0"/>
              <w:marRight w:val="0"/>
              <w:marTop w:val="0"/>
              <w:marBottom w:val="0"/>
              <w:divBdr>
                <w:top w:val="none" w:sz="0" w:space="0" w:color="auto"/>
                <w:left w:val="none" w:sz="0" w:space="0" w:color="auto"/>
                <w:bottom w:val="none" w:sz="0" w:space="0" w:color="auto"/>
                <w:right w:val="none" w:sz="0" w:space="0" w:color="auto"/>
              </w:divBdr>
              <w:divsChild>
                <w:div w:id="1394696875">
                  <w:marLeft w:val="0"/>
                  <w:marRight w:val="0"/>
                  <w:marTop w:val="0"/>
                  <w:marBottom w:val="0"/>
                  <w:divBdr>
                    <w:top w:val="none" w:sz="0" w:space="0" w:color="auto"/>
                    <w:left w:val="none" w:sz="0" w:space="0" w:color="auto"/>
                    <w:bottom w:val="none" w:sz="0" w:space="0" w:color="auto"/>
                    <w:right w:val="none" w:sz="0" w:space="0" w:color="auto"/>
                  </w:divBdr>
                  <w:divsChild>
                    <w:div w:id="1433088192">
                      <w:marLeft w:val="0"/>
                      <w:marRight w:val="0"/>
                      <w:marTop w:val="0"/>
                      <w:marBottom w:val="0"/>
                      <w:divBdr>
                        <w:top w:val="none" w:sz="0" w:space="0" w:color="auto"/>
                        <w:left w:val="none" w:sz="0" w:space="0" w:color="auto"/>
                        <w:bottom w:val="none" w:sz="0" w:space="0" w:color="auto"/>
                        <w:right w:val="none" w:sz="0" w:space="0" w:color="auto"/>
                      </w:divBdr>
                      <w:divsChild>
                        <w:div w:id="1577864800">
                          <w:marLeft w:val="0"/>
                          <w:marRight w:val="0"/>
                          <w:marTop w:val="0"/>
                          <w:marBottom w:val="0"/>
                          <w:divBdr>
                            <w:top w:val="none" w:sz="0" w:space="0" w:color="auto"/>
                            <w:left w:val="none" w:sz="0" w:space="0" w:color="auto"/>
                            <w:bottom w:val="none" w:sz="0" w:space="0" w:color="auto"/>
                            <w:right w:val="none" w:sz="0" w:space="0" w:color="auto"/>
                          </w:divBdr>
                          <w:divsChild>
                            <w:div w:id="518083936">
                              <w:marLeft w:val="0"/>
                              <w:marRight w:val="0"/>
                              <w:marTop w:val="0"/>
                              <w:marBottom w:val="0"/>
                              <w:divBdr>
                                <w:top w:val="none" w:sz="0" w:space="0" w:color="auto"/>
                                <w:left w:val="none" w:sz="0" w:space="0" w:color="auto"/>
                                <w:bottom w:val="none" w:sz="0" w:space="0" w:color="auto"/>
                                <w:right w:val="none" w:sz="0" w:space="0" w:color="auto"/>
                              </w:divBdr>
                              <w:divsChild>
                                <w:div w:id="318850456">
                                  <w:marLeft w:val="0"/>
                                  <w:marRight w:val="0"/>
                                  <w:marTop w:val="0"/>
                                  <w:marBottom w:val="0"/>
                                  <w:divBdr>
                                    <w:top w:val="none" w:sz="0" w:space="0" w:color="auto"/>
                                    <w:left w:val="none" w:sz="0" w:space="0" w:color="auto"/>
                                    <w:bottom w:val="none" w:sz="0" w:space="0" w:color="auto"/>
                                    <w:right w:val="none" w:sz="0" w:space="0" w:color="auto"/>
                                  </w:divBdr>
                                </w:div>
                                <w:div w:id="1727533250">
                                  <w:marLeft w:val="0"/>
                                  <w:marRight w:val="0"/>
                                  <w:marTop w:val="0"/>
                                  <w:marBottom w:val="0"/>
                                  <w:divBdr>
                                    <w:top w:val="none" w:sz="0" w:space="0" w:color="auto"/>
                                    <w:left w:val="none" w:sz="0" w:space="0" w:color="auto"/>
                                    <w:bottom w:val="none" w:sz="0" w:space="0" w:color="auto"/>
                                    <w:right w:val="none" w:sz="0" w:space="0" w:color="auto"/>
                                  </w:divBdr>
                                </w:div>
                                <w:div w:id="1945111276">
                                  <w:marLeft w:val="0"/>
                                  <w:marRight w:val="0"/>
                                  <w:marTop w:val="0"/>
                                  <w:marBottom w:val="0"/>
                                  <w:divBdr>
                                    <w:top w:val="none" w:sz="0" w:space="0" w:color="auto"/>
                                    <w:left w:val="none" w:sz="0" w:space="0" w:color="auto"/>
                                    <w:bottom w:val="none" w:sz="0" w:space="0" w:color="auto"/>
                                    <w:right w:val="none" w:sz="0" w:space="0" w:color="auto"/>
                                  </w:divBdr>
                                </w:div>
                                <w:div w:id="2079472555">
                                  <w:marLeft w:val="0"/>
                                  <w:marRight w:val="0"/>
                                  <w:marTop w:val="0"/>
                                  <w:marBottom w:val="0"/>
                                  <w:divBdr>
                                    <w:top w:val="none" w:sz="0" w:space="0" w:color="auto"/>
                                    <w:left w:val="none" w:sz="0" w:space="0" w:color="auto"/>
                                    <w:bottom w:val="none" w:sz="0" w:space="0" w:color="auto"/>
                                    <w:right w:val="none" w:sz="0" w:space="0" w:color="auto"/>
                                  </w:divBdr>
                                </w:div>
                                <w:div w:id="89392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3096851">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678459687">
          <w:marLeft w:val="0"/>
          <w:marRight w:val="0"/>
          <w:marTop w:val="0"/>
          <w:marBottom w:val="0"/>
          <w:divBdr>
            <w:top w:val="none" w:sz="0" w:space="0" w:color="auto"/>
            <w:left w:val="none" w:sz="0" w:space="0" w:color="auto"/>
            <w:bottom w:val="none" w:sz="0" w:space="0" w:color="auto"/>
            <w:right w:val="none" w:sz="0" w:space="0" w:color="auto"/>
          </w:divBdr>
          <w:divsChild>
            <w:div w:id="1216434558">
              <w:marLeft w:val="0"/>
              <w:marRight w:val="0"/>
              <w:marTop w:val="0"/>
              <w:marBottom w:val="0"/>
              <w:divBdr>
                <w:top w:val="none" w:sz="0" w:space="0" w:color="auto"/>
                <w:left w:val="none" w:sz="0" w:space="0" w:color="auto"/>
                <w:bottom w:val="none" w:sz="0" w:space="0" w:color="auto"/>
                <w:right w:val="none" w:sz="0" w:space="0" w:color="auto"/>
              </w:divBdr>
              <w:divsChild>
                <w:div w:id="558905593">
                  <w:marLeft w:val="0"/>
                  <w:marRight w:val="0"/>
                  <w:marTop w:val="0"/>
                  <w:marBottom w:val="0"/>
                  <w:divBdr>
                    <w:top w:val="none" w:sz="0" w:space="0" w:color="auto"/>
                    <w:left w:val="none" w:sz="0" w:space="0" w:color="auto"/>
                    <w:bottom w:val="none" w:sz="0" w:space="0" w:color="auto"/>
                    <w:right w:val="none" w:sz="0" w:space="0" w:color="auto"/>
                  </w:divBdr>
                  <w:divsChild>
                    <w:div w:id="900557932">
                      <w:marLeft w:val="0"/>
                      <w:marRight w:val="0"/>
                      <w:marTop w:val="0"/>
                      <w:marBottom w:val="0"/>
                      <w:divBdr>
                        <w:top w:val="none" w:sz="0" w:space="0" w:color="auto"/>
                        <w:left w:val="none" w:sz="0" w:space="0" w:color="auto"/>
                        <w:bottom w:val="none" w:sz="0" w:space="0" w:color="auto"/>
                        <w:right w:val="none" w:sz="0" w:space="0" w:color="auto"/>
                      </w:divBdr>
                    </w:div>
                    <w:div w:id="461273634">
                      <w:marLeft w:val="0"/>
                      <w:marRight w:val="0"/>
                      <w:marTop w:val="0"/>
                      <w:marBottom w:val="0"/>
                      <w:divBdr>
                        <w:top w:val="none" w:sz="0" w:space="0" w:color="auto"/>
                        <w:left w:val="none" w:sz="0" w:space="0" w:color="auto"/>
                        <w:bottom w:val="none" w:sz="0" w:space="0" w:color="auto"/>
                        <w:right w:val="none" w:sz="0" w:space="0" w:color="auto"/>
                      </w:divBdr>
                    </w:div>
                    <w:div w:id="39682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tu-environnement.com/ae/news/loi-finances-2012-fiscalite-mesures-environnementales-14530.php4"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actu-environnement.com/ae/news/loi-finances-2012-fiscalite-mesures-environnementales-14530.php4"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fr.wikipedia.org/wiki/2006" TargetMode="External"/><Relationship Id="rId7" Type="http://schemas.openxmlformats.org/officeDocument/2006/relationships/hyperlink" Target="http://www.legifrance.gouv.fr/affichCodeArticle.do?idArticle=LEGIARTI000025518741&amp;cidTexte=LEGITEXT000006074220&amp;dateTexte=20141229&amp;oldAction=rechCodeArticle&amp;fastReqId=533770320&amp;nbResultRech=1" TargetMode="External"/><Relationship Id="rId2" Type="http://schemas.openxmlformats.org/officeDocument/2006/relationships/hyperlink" Target="https://fr.wikipedia.org/wiki/D%C3%A9cembre_2006" TargetMode="External"/><Relationship Id="rId1" Type="http://schemas.openxmlformats.org/officeDocument/2006/relationships/hyperlink" Target="https://fr.wikipedia.org/wiki/30_d%C3%A9cembre" TargetMode="External"/><Relationship Id="rId6" Type="http://schemas.openxmlformats.org/officeDocument/2006/relationships/hyperlink" Target="https://fr.wikipedia.org/wiki/2000" TargetMode="External"/><Relationship Id="rId5" Type="http://schemas.openxmlformats.org/officeDocument/2006/relationships/hyperlink" Target="https://fr.wikipedia.org/wiki/Octobre_2000" TargetMode="External"/><Relationship Id="rId4" Type="http://schemas.openxmlformats.org/officeDocument/2006/relationships/hyperlink" Target="https://fr.wikipedia.org/wiki/Directive_cadre_europ%C3%A9enne_sur_l%E2%80%99e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9872D-43BF-4989-A5E0-7D5581F1A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Pages>
  <Words>855</Words>
  <Characters>4706</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FENARIVE FENARIVE</dc:creator>
  <cp:lastModifiedBy>FENARIVE FENARIVE</cp:lastModifiedBy>
  <cp:revision>38</cp:revision>
  <dcterms:created xsi:type="dcterms:W3CDTF">2015-06-29T16:38:00Z</dcterms:created>
  <dcterms:modified xsi:type="dcterms:W3CDTF">2015-09-29T13:32:00Z</dcterms:modified>
</cp:coreProperties>
</file>